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3ADB" w:rsidRDefault="00983CCF" w14:paraId="4ff0ca0" w14:textId="4ff0ca0">
      <w:pPr>
        <w:jc w:val="center"/>
        <w15:collapsed w:val="false"/>
      </w:pPr>
      <w:bookmarkStart w:name="_GoBack" w:id="0"/>
      <w:bookmarkEnd w:id="0"/>
      <w:r>
        <w:rPr>
          <w:rFonts w:ascii="Times New Roman" w:hAnsi="Times New Roman"/>
          <w:b/>
          <w:sz w:val="28"/>
        </w:rPr>
        <w:t>Obrazac 22.</w:t>
      </w:r>
    </w:p>
    <w:p w:rsidR="00023ADB" w:rsidRDefault="00023ADB">
      <w:pPr>
        <w:jc w:val="center"/>
        <w:rPr>
          <w:rFonts w:ascii="Times New Roman" w:hAnsi="Times New Roman"/>
          <w:b/>
          <w:sz w:val="28"/>
        </w:rPr>
      </w:pPr>
    </w:p>
    <w:p w:rsidR="00023ADB" w:rsidRDefault="00983CC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023ADB" w:rsidRDefault="00023ADB">
      <w:pPr>
        <w:rPr>
          <w:rFonts w:ascii="Times New Roman" w:hAnsi="Times New Roman"/>
          <w:b/>
          <w:sz w:val="28"/>
        </w:rPr>
      </w:pPr>
    </w:p>
    <w:p w:rsidR="00023ADB" w:rsidRDefault="00983CCF">
      <w:r>
        <w:rPr>
          <w:rFonts w:ascii="Times New Roman" w:hAnsi="Times New Roman"/>
          <w:sz w:val="24"/>
          <w:szCs w:val="24"/>
          <w:lang w:val="pl-PL"/>
        </w:rPr>
        <w:t xml:space="preserve">Nadležni trgovački sud: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TRGOVAČKI SUD U VARAŽDINU</w:t>
      </w:r>
    </w:p>
    <w:p w:rsidR="00023ADB" w:rsidRDefault="00983CC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5 St-570/16</w:t>
      </w:r>
    </w:p>
    <w:p w:rsidR="00023ADB" w:rsidRDefault="00983CC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(ime i prezime/tvrtkaili naziv, OIB, adresa/sjedište) </w:t>
      </w:r>
    </w:p>
    <w:p w:rsidR="00023ADB" w:rsidRDefault="00983CCF">
      <w:pPr>
        <w:jc w:val="both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COMPLEX d.o.o. u stečaju, OIB: 56706061162, Pribislavec,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Ulica dr. Ante Starčevića 63/b.</w:t>
      </w:r>
    </w:p>
    <w:p w:rsidR="00023ADB" w:rsidRDefault="00023ADB">
      <w:pPr>
        <w:spacing w:after="120"/>
        <w:jc w:val="both"/>
        <w:rPr>
          <w:rFonts w:ascii="Times New Roman" w:hAnsi="Times New Roman"/>
          <w:sz w:val="24"/>
        </w:rPr>
      </w:pPr>
    </w:p>
    <w:p w:rsidR="00023ADB" w:rsidRDefault="00983CCF">
      <w:pPr>
        <w:pStyle w:val="Bezproreda"/>
        <w:jc w:val="both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I. RAČUN PRIHODA I RASHODA  (za razdoblje od otvaranja stečajnoga postupka dana 31. listopada 2016. godine pa do otvaranja stečajnoga postupka).</w:t>
      </w:r>
    </w:p>
    <w:p w:rsidR="00023ADB" w:rsidRDefault="00023ADB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:rsidR="00023ADB" w:rsidRDefault="00983CCF">
      <w:pPr>
        <w:pStyle w:val="Bezproreda"/>
        <w:rPr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Tabela 1: Pregled prihoda </w:t>
      </w:r>
    </w:p>
    <w:p w:rsidR="00023ADB" w:rsidRDefault="00023ADB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9288" w:type="dxa"/>
        <w:tblLook w:firstRow="1" w:lastRow="0" w:firstColumn="1" w:lastColumn="0" w:noHBand="0" w:noVBand="1" w:val="04A0"/>
      </w:tblPr>
      <w:tblGrid>
        <w:gridCol w:w="795"/>
        <w:gridCol w:w="5397"/>
        <w:gridCol w:w="3096"/>
      </w:tblGrid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Opis prihoda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u kunama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Prihod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ostvaren prodajom nekretnine upisana u  z.k.ul. br.2901, k.o. 303461 Pribislavec, čkbr. 811/1/2/1/1/3, radionica za centralno grijanje i dvor površine 682 čhv.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500.000,00 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Prihod ostvaren prodajom pokretne imovine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25.187,00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Prihod ostvaren od naja</w:t>
            </w:r>
            <w:r>
              <w:rPr>
                <w:rFonts w:ascii="Times New Roman" w:hAnsi="Times New Roman"/>
                <w:sz w:val="24"/>
                <w:szCs w:val="24"/>
              </w:rPr>
              <w:t>mnine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55.830,00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Prihod od kamata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44,85 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023AD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SVEUKUPNO: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581.061,85</w:t>
            </w:r>
          </w:p>
        </w:tc>
      </w:tr>
    </w:tbl>
    <w:p w:rsidR="00023ADB" w:rsidRDefault="00023ADB">
      <w:pPr>
        <w:pStyle w:val="Bezproreda"/>
        <w:rPr>
          <w:rFonts w:ascii="Times New Roman" w:hAnsi="Times New Roman"/>
          <w:sz w:val="24"/>
          <w:szCs w:val="24"/>
        </w:rPr>
      </w:pPr>
    </w:p>
    <w:p w:rsidR="00023ADB" w:rsidRDefault="00983CC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Tabela 2: Pregled rashoda</w:t>
      </w:r>
    </w:p>
    <w:p w:rsidR="00023ADB" w:rsidRDefault="00023ADB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9288" w:type="dxa"/>
        <w:tblLook w:firstRow="1" w:lastRow="0" w:firstColumn="1" w:lastColumn="0" w:noHBand="0" w:noVBand="1" w:val="04A0"/>
      </w:tblPr>
      <w:tblGrid>
        <w:gridCol w:w="795"/>
        <w:gridCol w:w="5397"/>
        <w:gridCol w:w="3096"/>
      </w:tblGrid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</w:t>
            </w:r>
          </w:p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broj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Opis rashoda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u kunama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Izrada pečata sa oznakom,, u stečaju”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175,00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banci za vođenje računa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1.390,71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Nagrada </w:t>
            </w:r>
            <w:r>
              <w:rPr>
                <w:rFonts w:ascii="Times New Roman" w:hAnsi="Times New Roman"/>
                <w:sz w:val="24"/>
                <w:szCs w:val="24"/>
              </w:rPr>
              <w:t>stečajnom upravitelju u bruto iznosu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66.484,93 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Prijevozni troškovi stečajnoga upravitelja u bruto iznosu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9.800,82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Troškovi procijene vrijednosti imovine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6.875,00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Predujmljeni iznos Financijskoj agenciji za održavanje elektronske prodaje </w:t>
            </w:r>
            <w:r>
              <w:rPr>
                <w:rFonts w:ascii="Times New Roman" w:hAnsi="Times New Roman"/>
                <w:sz w:val="24"/>
                <w:szCs w:val="24"/>
              </w:rPr>
              <w:t>nekretnine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2.800,00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Trošak osiguranja imovine 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4.662,06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Troškovi vođenja računovodstveno knjigovodstvenih poslova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22.050,00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Poštarina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110,50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Troškovi korištenja privatnog mobitela u službene svrhe ( paušalni bruto iznos)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2.596,62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Administrativni poslovi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Troškovi vezani uz prodaju nekretnine javnom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dražbom putem Financijske agencije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400,00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Komunalna naknada i naknada za uređenje voda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29.640,77 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97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Troškovi električne energije  </w:t>
            </w:r>
          </w:p>
        </w:tc>
        <w:tc>
          <w:tcPr>
            <w:tcW w:w="3096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720,00</w:t>
            </w:r>
          </w:p>
        </w:tc>
      </w:tr>
      <w:tr w:rsidR="00023ADB">
        <w:tc>
          <w:tcPr>
            <w:tcW w:w="795" w:type="dxa"/>
            <w:shd w:val="clear" w:color="auto" w:fill="auto"/>
          </w:tcPr>
          <w:p w:rsidR="00023ADB" w:rsidRDefault="00023AD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7" w:type="dxa"/>
            <w:shd w:val="clear" w:color="auto" w:fill="auto"/>
          </w:tcPr>
          <w:p w:rsidR="00023ADB" w:rsidRDefault="00023AD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SVEUKUPNO:</w:t>
            </w:r>
          </w:p>
        </w:tc>
        <w:tc>
          <w:tcPr>
            <w:tcW w:w="3096" w:type="dxa"/>
            <w:shd w:val="clear" w:color="auto" w:fill="auto"/>
          </w:tcPr>
          <w:p w:rsidR="00023ADB" w:rsidRDefault="00023AD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160.806,41</w:t>
            </w:r>
          </w:p>
        </w:tc>
      </w:tr>
    </w:tbl>
    <w:p w:rsidR="00023ADB" w:rsidRDefault="00023ADB">
      <w:pPr>
        <w:pStyle w:val="Bezproreda"/>
        <w:rPr>
          <w:rFonts w:ascii="Times New Roman" w:hAnsi="Times New Roman"/>
          <w:sz w:val="24"/>
          <w:szCs w:val="24"/>
        </w:rPr>
      </w:pPr>
    </w:p>
    <w:p w:rsidR="00023ADB" w:rsidRDefault="00023ADB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023ADB" w:rsidRDefault="00023ADB">
      <w:pPr>
        <w:spacing w:afterAutospacing="true" w:line="360" w:lineRule="auto"/>
        <w:jc w:val="both"/>
        <w:rPr>
          <w:i/>
        </w:rPr>
      </w:pP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</w:rPr>
        <w:t xml:space="preserve">II. ZAVRŠNA BILANCA NA DAN 19.08.2019. </w:t>
      </w:r>
    </w:p>
    <w:p w:rsidR="00023ADB" w:rsidRDefault="00023AD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023AD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9288" w:type="dxa"/>
        <w:tblLook w:firstRow="1" w:lastRow="0" w:firstColumn="1" w:lastColumn="0" w:noHBand="0" w:noVBand="1" w:val="04A0"/>
      </w:tblPr>
      <w:tblGrid>
        <w:gridCol w:w="855"/>
        <w:gridCol w:w="3789"/>
        <w:gridCol w:w="2322"/>
        <w:gridCol w:w="2322"/>
      </w:tblGrid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Redni broj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Opis stavke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Početna bilanca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Završna bilanca na dana 19.08.2019.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Zemljište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Građevinski objekti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2.000,000,00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Oprema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39.000,00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Predujmovi za materijalnu imovinu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DUGOTRAJNA IMOVINA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4.500,00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Zalihe trgovačke robe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4.500,00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Potraživanja od kupaca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rPr>
          <w:trHeight w:val="331"/>
        </w:trPr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Dani zajmovi depoziti i slično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Plaćeni troškovi budućeg razdoblja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Novac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KRATKOTRAJNA IMOVINA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023AD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Ukupno aktiva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023AD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22" w:type="dxa"/>
            <w:shd w:val="clear" w:color="auto" w:fill="auto"/>
          </w:tcPr>
          <w:p w:rsidR="00023ADB" w:rsidRDefault="00023AD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Temeljni kapital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Zadržana dobit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Dobit poslovne godine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Gubitak razdoblja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KAPITAL I REZERVE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Obveze za zajmove, </w:t>
            </w:r>
            <w:r>
              <w:rPr>
                <w:rFonts w:ascii="Times New Roman" w:hAnsi="Times New Roman"/>
                <w:sz w:val="24"/>
              </w:rPr>
              <w:t>depozite i sl.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789" w:type="dxa"/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Obveze prema zaposlenima</w:t>
            </w:r>
          </w:p>
        </w:tc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789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Obveze za poreze i doprinose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789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Obveze prema dobaljačima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3789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KRATKOROČNE OBVEZE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2322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023ADB">
        <w:tc>
          <w:tcPr>
            <w:tcW w:w="854" w:type="dxa"/>
            <w:tcBorders>
              <w:top w:val="nil"/>
            </w:tcBorders>
            <w:shd w:val="clear" w:color="auto" w:fill="auto"/>
          </w:tcPr>
          <w:p w:rsidR="00023ADB" w:rsidRDefault="00023AD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89" w:type="dxa"/>
            <w:tcBorders>
              <w:top w:val="nil"/>
            </w:tcBorders>
            <w:shd w:val="clear" w:color="auto" w:fill="auto"/>
          </w:tcPr>
          <w:p w:rsidR="00023ADB" w:rsidRDefault="00983C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UKUPNO PASIVA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3ADB" w:rsidRDefault="00023AD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22" w:type="dxa"/>
            <w:tcBorders>
              <w:top w:val="nil"/>
            </w:tcBorders>
            <w:shd w:val="clear" w:color="auto" w:fill="auto"/>
          </w:tcPr>
          <w:p w:rsidR="00023ADB" w:rsidRDefault="00023AD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023ADB" w:rsidRDefault="00023ADB">
      <w:pPr>
        <w:spacing w:after="120"/>
        <w:jc w:val="both"/>
        <w:rPr>
          <w:rFonts w:ascii="Times New Roman" w:hAnsi="Times New Roman"/>
          <w:sz w:val="24"/>
        </w:rPr>
      </w:pPr>
    </w:p>
    <w:p w:rsidR="00023ADB" w:rsidRDefault="00023ADB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>III. ZAVRŠNI IZVJEŠTAJ STEČAJNOGA UPRAVITELJA</w:t>
      </w:r>
    </w:p>
    <w:p w:rsidR="00023ADB" w:rsidRDefault="00023AD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>
        <w:rPr>
          <w:rFonts w:ascii="Times New Roman" w:hAnsi="Times New Roman"/>
          <w:sz w:val="24"/>
          <w:szCs w:val="24"/>
          <w:lang w:val="pl-PL"/>
        </w:rPr>
        <w:t>Stečajni postupak nad stečajnim dužnikom COMPLEX d.o.o. , Pribislavec, Ulica dr. Ante Starčevića 63/ b, OIB: 56706061162, otvoren je Rješenjem Trgovačkog suda u Varaždinu poslovni broj 5 St-570/16-8 dana 31. listopada 2016. godine, a</w:t>
      </w:r>
      <w:r>
        <w:rPr>
          <w:rFonts w:ascii="Times New Roman" w:hAnsi="Times New Roman"/>
          <w:sz w:val="24"/>
          <w:szCs w:val="24"/>
        </w:rPr>
        <w:t xml:space="preserve"> ispitno i izvještajno </w:t>
      </w:r>
      <w:r>
        <w:rPr>
          <w:rFonts w:ascii="Times New Roman" w:hAnsi="Times New Roman"/>
          <w:sz w:val="24"/>
          <w:szCs w:val="24"/>
        </w:rPr>
        <w:t xml:space="preserve">ročište održana su dana 14. veljače 2017. godine, te su nakon toga sukladno donijetim odlukama </w:t>
      </w:r>
      <w:r>
        <w:rPr>
          <w:rFonts w:ascii="Times New Roman" w:hAnsi="Times New Roman"/>
          <w:sz w:val="24"/>
          <w:szCs w:val="24"/>
        </w:rPr>
        <w:lastRenderedPageBreak/>
        <w:t>vjerovnika poduzete potrebne radnje kako bi se unovčila sva imovina koja je činila stečajnu masu. Stečajni dužnik je u svom vlasništvu imao nekretninu u Pribisla</w:t>
      </w:r>
      <w:r>
        <w:rPr>
          <w:rFonts w:ascii="Times New Roman" w:hAnsi="Times New Roman"/>
          <w:sz w:val="24"/>
          <w:szCs w:val="24"/>
        </w:rPr>
        <w:t xml:space="preserve">vcu, </w:t>
      </w:r>
      <w:bookmarkStart w:name="__DdeLink__5049_3694620478" w:id="1"/>
      <w:r>
        <w:rPr>
          <w:rFonts w:ascii="Times New Roman" w:hAnsi="Times New Roman"/>
          <w:sz w:val="24"/>
          <w:szCs w:val="24"/>
        </w:rPr>
        <w:t>upisana u u z.k.ul. br.2901, k.o. 303461 Pribislavec, čkbr. 811/1/2/1/1/3, radionica za centralno grijanje i dvor površine 682 čhv.</w:t>
      </w:r>
      <w:bookmarkEnd w:id="1"/>
      <w:r>
        <w:rPr>
          <w:rFonts w:ascii="Times New Roman" w:hAnsi="Times New Roman"/>
          <w:sz w:val="24"/>
          <w:szCs w:val="24"/>
        </w:rPr>
        <w:t>, na kojoj se nalazi poslovni objekt sveukupne površine 1.395,90 m2 koji se sastoji od kako slijedi: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 spremišta površ</w:t>
      </w:r>
      <w:r>
        <w:rPr>
          <w:rFonts w:ascii="Times New Roman" w:hAnsi="Times New Roman"/>
          <w:sz w:val="24"/>
          <w:szCs w:val="24"/>
        </w:rPr>
        <w:t>ine 45,86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 kancelarije površine 71,99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vjetrobran površine 6,33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wc površine 3,20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čajna kuhinja površine 4,51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garderobe površine 17,14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hale površine 291,35 m2,</w:t>
      </w:r>
    </w:p>
    <w:p w:rsidR="00023ADB" w:rsidRDefault="00983C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nadstrešnice površine  955,52 m2</w:t>
      </w:r>
    </w:p>
    <w:p w:rsidR="00023ADB" w:rsidRDefault="00023AD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spacing w:after="0"/>
        <w:ind w:firstLine="567"/>
        <w:jc w:val="both"/>
      </w:pPr>
      <w:r>
        <w:rPr>
          <w:rFonts w:ascii="Times New Roman" w:hAnsi="Times New Roman"/>
          <w:sz w:val="24"/>
          <w:szCs w:val="24"/>
        </w:rPr>
        <w:t xml:space="preserve">Na navedenoj nekretnini </w:t>
      </w:r>
      <w:r>
        <w:rPr>
          <w:rFonts w:ascii="Times New Roman" w:hAnsi="Times New Roman"/>
          <w:sz w:val="24"/>
          <w:szCs w:val="24"/>
        </w:rPr>
        <w:t>razlučno pravo imao je vjerovnik B2 KAPITAL d.o.o., Radnička 41, Zagreb, te vjerovnik Republika Hrvatska, Ministarstvo financija - Porezna uprava, Područni ured Sjeverna Hrvatska.</w:t>
      </w:r>
    </w:p>
    <w:p w:rsidR="00023ADB" w:rsidRDefault="00023AD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spacing w:after="240"/>
        <w:ind w:firstLine="567"/>
        <w:jc w:val="both"/>
      </w:pPr>
      <w:r>
        <w:rPr>
          <w:rFonts w:ascii="Times New Roman" w:hAnsi="Times New Roman"/>
          <w:sz w:val="24"/>
          <w:szCs w:val="24"/>
        </w:rPr>
        <w:t>Naime, odluka vjerovnika je bila da će se nekretnine prodati, odnosno unovč</w:t>
      </w:r>
      <w:r>
        <w:rPr>
          <w:rFonts w:ascii="Times New Roman" w:hAnsi="Times New Roman"/>
          <w:sz w:val="24"/>
          <w:szCs w:val="24"/>
        </w:rPr>
        <w:t>iti, sukladno odredbama članka 247. Stečajnog zakona ( NN 71/15, 104/17), elektroničkom javnom dražbom koju će provesti Financijska agencija.</w:t>
      </w:r>
    </w:p>
    <w:p w:rsidR="00023ADB" w:rsidRDefault="00983CCF">
      <w:pPr>
        <w:spacing w:after="0"/>
        <w:ind w:firstLine="567"/>
        <w:jc w:val="both"/>
      </w:pPr>
      <w:r>
        <w:rPr>
          <w:rFonts w:ascii="Times New Roman" w:hAnsi="Times New Roman"/>
          <w:color w:val="000000"/>
          <w:sz w:val="24"/>
          <w:szCs w:val="24"/>
        </w:rPr>
        <w:t>Nakon toga Trgovački sud u Varaždinu je dana 06. rujna 2017. godine,  rješenjem poslovni broj 5 St-570/16-15, odre</w:t>
      </w:r>
      <w:r>
        <w:rPr>
          <w:rFonts w:ascii="Times New Roman" w:hAnsi="Times New Roman"/>
          <w:color w:val="000000"/>
          <w:sz w:val="24"/>
          <w:szCs w:val="24"/>
        </w:rPr>
        <w:t>dio prodaju nekretnina stečajnog dužnika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u stečajnom postupku, a zaključkom o prodaji poslovni broj 5 St-570/16-16, od 06. rujna 2017. godine određena je prodaja elektroničkom javnom dražbom putem Financijske agencije, s time da je utvrđena vrijednost nekr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etnine</w:t>
      </w:r>
      <w:r>
        <w:rPr>
          <w:rFonts w:ascii="Times New Roman" w:hAnsi="Times New Roman"/>
          <w:color w:val="000000"/>
          <w:sz w:val="24"/>
          <w:szCs w:val="24"/>
        </w:rPr>
        <w:t xml:space="preserve"> upisane u z.k.ul.br.2901, k.o. 303461 Pribislavec, čkbr. 811/1/2/1/1/3, radionica za centralno grijanje i dvor površine 682 čhv.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u iznosu od 2.000.000,00 kn.</w:t>
      </w:r>
    </w:p>
    <w:p w:rsidR="00023ADB" w:rsidRDefault="00023AD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spacing w:after="240"/>
        <w:ind w:firstLine="567"/>
        <w:jc w:val="both"/>
      </w:pPr>
      <w:r>
        <w:rPr>
          <w:rFonts w:ascii="Times New Roman" w:hAnsi="Times New Roman"/>
          <w:sz w:val="24"/>
          <w:szCs w:val="24"/>
        </w:rPr>
        <w:t>Navedena nekretnina prodana je dana 18. srpnja 2018. godine kupcu IM-COMP d.o.o. Čakovec, L. Bezeredija 47, za kupoprodajnu cijenu u iznosu od 500.000,00 kn, a unovčenje ove nekretnine izvršeno je sukladno odredbama članka 247. Stečajnog zakona ( NN 71/15,</w:t>
      </w:r>
      <w:r>
        <w:rPr>
          <w:rFonts w:ascii="Times New Roman" w:hAnsi="Times New Roman"/>
          <w:sz w:val="24"/>
          <w:szCs w:val="24"/>
        </w:rPr>
        <w:t xml:space="preserve"> 104/17), elektroničkom javnom dražbom koju je provela Financijska agencija. Nekretnina je prodana na trećoj elektroničkoj javnoj dražbi.         </w:t>
      </w:r>
    </w:p>
    <w:p w:rsidR="00023ADB" w:rsidRDefault="00983CCF">
      <w:pPr>
        <w:spacing w:after="0"/>
        <w:ind w:firstLine="567"/>
        <w:jc w:val="both"/>
      </w:pPr>
      <w:r>
        <w:rPr>
          <w:rFonts w:ascii="Times New Roman" w:hAnsi="Times New Roman"/>
          <w:sz w:val="24"/>
          <w:szCs w:val="24"/>
        </w:rPr>
        <w:t>COMPLEX d.o.o. u stečaju, Pribislavec u vrijeme otvaranja stečajnog postupka u svom vlasništvu imao je i odre</w:t>
      </w:r>
      <w:r>
        <w:rPr>
          <w:rFonts w:ascii="Times New Roman" w:hAnsi="Times New Roman"/>
          <w:sz w:val="24"/>
          <w:szCs w:val="24"/>
        </w:rPr>
        <w:t>đenu pokretnu imovinu, odnosno ostatke raznog desortiranog repromaterijala i opreme, večinom neispravne iz razdoblja dok je još društvo poslovalo. Obzirom da stečajni dužnik nije poslovao nekoliko godina ti ostaci materijala kao i opreme, te namještaj koji</w:t>
      </w:r>
      <w:r>
        <w:rPr>
          <w:rFonts w:ascii="Times New Roman" w:hAnsi="Times New Roman"/>
          <w:sz w:val="24"/>
          <w:szCs w:val="24"/>
        </w:rPr>
        <w:t xml:space="preserve"> je u cijelosti otpisan, stajali su u skladištu i pod nastrešnicom u Pribislavcu, Dr. Ante Starčevića 63/b.</w:t>
      </w:r>
    </w:p>
    <w:p w:rsidR="00023ADB" w:rsidRDefault="00023AD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ind w:firstLine="567"/>
        <w:jc w:val="both"/>
      </w:pPr>
      <w:r>
        <w:rPr>
          <w:rFonts w:ascii="Times New Roman" w:hAnsi="Times New Roman"/>
          <w:sz w:val="24"/>
          <w:szCs w:val="24"/>
          <w:lang w:val="pl-PL"/>
        </w:rPr>
        <w:t>Sukladno odlukama skupštine vjerovnika donijetim na izvještajno ročištu koje je održano dana 14. veljače 2017. godine, izvršena je i procijena samo</w:t>
      </w:r>
      <w:r>
        <w:rPr>
          <w:rFonts w:ascii="Times New Roman" w:hAnsi="Times New Roman"/>
          <w:sz w:val="24"/>
          <w:szCs w:val="24"/>
          <w:lang w:val="pl-PL"/>
        </w:rPr>
        <w:t xml:space="preserve"> vrijednije pokretne imovine. Procjena je izvršena od strane stalnog sudskog vještaka za strojarske instalacije u građevinarstvu i promet, Borojević Duško dipl. ing. strojarstva, iz Koprivnice, Đure Basarićeka 6.  </w:t>
      </w:r>
    </w:p>
    <w:p w:rsidR="00023ADB" w:rsidRDefault="00983CCF">
      <w:pPr>
        <w:ind w:firstLine="851"/>
        <w:jc w:val="both"/>
      </w:pPr>
      <w:r>
        <w:rPr>
          <w:rFonts w:ascii="Times New Roman" w:hAnsi="Times New Roman"/>
          <w:sz w:val="24"/>
          <w:szCs w:val="24"/>
        </w:rPr>
        <w:t>Prodajom pokretnina oprihodovano je ukupn</w:t>
      </w:r>
      <w:r>
        <w:rPr>
          <w:rFonts w:ascii="Times New Roman" w:hAnsi="Times New Roman"/>
          <w:sz w:val="24"/>
          <w:szCs w:val="24"/>
        </w:rPr>
        <w:t>o 25.187,00 kn (bez pdv-a), a na ime najamnine za nadstrešnicu – skladište naplaćen je iznos od 55.830,00 kn (bez pdv-a).</w:t>
      </w:r>
    </w:p>
    <w:p w:rsidR="00023ADB" w:rsidRDefault="00023ADB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ind w:firstLine="851"/>
        <w:jc w:val="both"/>
      </w:pPr>
      <w:r>
        <w:rPr>
          <w:rFonts w:ascii="Times New Roman" w:hAnsi="Times New Roman"/>
          <w:sz w:val="24"/>
          <w:szCs w:val="24"/>
        </w:rPr>
        <w:t>Nakon što je unovčena nekretnina u vlasništvu stečajnog dužnika upisana u zk. ul. br.2901, k.o. 303461 Pribislavec, čkbr. 811/1/2/1/1</w:t>
      </w:r>
      <w:r>
        <w:rPr>
          <w:rFonts w:ascii="Times New Roman" w:hAnsi="Times New Roman"/>
          <w:sz w:val="24"/>
          <w:szCs w:val="24"/>
        </w:rPr>
        <w:t>/3, za kupoprodajni iznos od 500.000,00 kn, razlučni vjerovnik B2 KAPITAL d.o.o., Zagreb, Radnička cesta 41, djelomično je namiren sa iznosom od 406.439,23 kn.</w:t>
      </w:r>
    </w:p>
    <w:p w:rsidR="00023ADB" w:rsidRDefault="00023ADB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ind w:firstLine="851"/>
        <w:jc w:val="both"/>
      </w:pPr>
      <w:r>
        <w:rPr>
          <w:rFonts w:ascii="Times New Roman" w:hAnsi="Times New Roman"/>
          <w:sz w:val="24"/>
          <w:szCs w:val="24"/>
        </w:rPr>
        <w:t>Navodi se da u dosadašnjem tijeku stečajnog postupka nije bilo namirenja stečajnih vjerovnika I</w:t>
      </w:r>
      <w:r>
        <w:rPr>
          <w:rFonts w:ascii="Times New Roman" w:hAnsi="Times New Roman"/>
          <w:sz w:val="24"/>
          <w:szCs w:val="24"/>
        </w:rPr>
        <w:t xml:space="preserve"> višeg isplatnog reda i II višeg isplatnog reda.</w:t>
      </w:r>
    </w:p>
    <w:p w:rsidR="00023ADB" w:rsidRDefault="00023ADB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ind w:firstLine="851"/>
        <w:jc w:val="both"/>
      </w:pPr>
      <w:r>
        <w:rPr>
          <w:rFonts w:ascii="Times New Roman" w:hAnsi="Times New Roman"/>
          <w:sz w:val="24"/>
          <w:szCs w:val="24"/>
        </w:rPr>
        <w:t>Stečajni dužnik na dan otvaranja stečajnog postupka nije imao zaposlenih osoba, iz razloga jer već više godina prije otvaranja stečajnog postupka je prekinuo svoje poslovanje. Također ni nakon otvaranja ste</w:t>
      </w:r>
      <w:r>
        <w:rPr>
          <w:rFonts w:ascii="Times New Roman" w:hAnsi="Times New Roman"/>
          <w:sz w:val="24"/>
          <w:szCs w:val="24"/>
        </w:rPr>
        <w:t xml:space="preserve">čajnog postupka nije imao nikog u radnom odnosu, te po toj osnovi nema nikakvih obaveza prema zaposlenicima. </w:t>
      </w:r>
    </w:p>
    <w:p w:rsidR="00023ADB" w:rsidRDefault="00023ADB">
      <w:pPr>
        <w:spacing w:after="120"/>
        <w:ind w:firstLine="851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023ADB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IV. ZAVRŠNI (DIOBNI) POPIS</w:t>
      </w: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Završni (diobni) popis predstavlja listu svih tražbina s naznakom njihovih vjerovnika koje će se pri završnoj diobi </w:t>
      </w:r>
      <w:r>
        <w:rPr>
          <w:rFonts w:ascii="Times New Roman" w:hAnsi="Times New Roman"/>
          <w:sz w:val="24"/>
          <w:szCs w:val="24"/>
          <w:lang w:val="pl-PL"/>
        </w:rPr>
        <w:t>uzeti u obzir te je popraćen prijedlogom stečajnoga upravitelja za podjelu iznosa stečajne mase, koji će preostati po ispunjenju obveza stečajne mase radi namirenja ukupne sume prema listi (tablici) utvrđenih tražbina u stečajnoj kvoti.</w:t>
      </w:r>
    </w:p>
    <w:p w:rsidR="00023ADB" w:rsidRDefault="00023AD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               U o</w:t>
      </w:r>
      <w:r>
        <w:rPr>
          <w:rFonts w:ascii="Times New Roman" w:hAnsi="Times New Roman"/>
          <w:sz w:val="24"/>
          <w:szCs w:val="24"/>
          <w:lang w:val="pl-PL"/>
        </w:rPr>
        <w:t>vom stečajnom postupku prijavljene i priznate tražbine vjerovnika iznosile su sveukupno 1.769.678,10 kuna.</w:t>
      </w:r>
    </w:p>
    <w:p w:rsidR="00023ADB" w:rsidRDefault="00023AD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>I viši isplatnired – namirenje 0,00 %</w:t>
      </w: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>II viši isplatni red – namirenje 0,00 %</w:t>
      </w:r>
    </w:p>
    <w:p w:rsidR="00023ADB" w:rsidRDefault="00983CCF">
      <w:pPr>
        <w:spacing w:after="120"/>
        <w:jc w:val="both"/>
      </w:pPr>
      <w:r>
        <w:rPr>
          <w:rFonts w:ascii="Times New Roman" w:hAnsi="Times New Roman"/>
          <w:sz w:val="24"/>
          <w:szCs w:val="24"/>
          <w:lang w:val="pl-PL"/>
        </w:rPr>
        <w:t>Razlučni vjerovnik B2 KAPITAL d.o.o. Zagreb, namiren je djelomično s i</w:t>
      </w:r>
      <w:r>
        <w:rPr>
          <w:rFonts w:ascii="Times New Roman" w:hAnsi="Times New Roman"/>
          <w:sz w:val="24"/>
          <w:szCs w:val="24"/>
          <w:lang w:val="pl-PL"/>
        </w:rPr>
        <w:t>znosom od 406.439,23 kn.</w:t>
      </w:r>
    </w:p>
    <w:p w:rsidR="00023ADB" w:rsidRDefault="00983CCF">
      <w:r>
        <w:rPr>
          <w:rFonts w:ascii="Times New Roman" w:hAnsi="Times New Roman"/>
          <w:sz w:val="24"/>
          <w:szCs w:val="24"/>
          <w:lang w:val="pl-PL"/>
        </w:rPr>
        <w:t xml:space="preserve">Razlučni vjerovnik </w:t>
      </w:r>
      <w:r>
        <w:rPr>
          <w:rFonts w:ascii="Times New Roman" w:hAnsi="Times New Roman"/>
          <w:sz w:val="24"/>
          <w:szCs w:val="24"/>
          <w:lang w:val="pl-PL"/>
        </w:rPr>
        <w:t>Ministarstvo financija – Porezna uprava namiruje se są iznosom od 13.816,21 kuna.</w:t>
      </w:r>
    </w:p>
    <w:p w:rsidR="00023ADB" w:rsidRDefault="00023ADB">
      <w:pPr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r>
        <w:rPr>
          <w:rFonts w:ascii="Times New Roman" w:hAnsi="Times New Roman"/>
          <w:sz w:val="24"/>
          <w:szCs w:val="24"/>
          <w:lang w:val="pl-PL"/>
        </w:rPr>
        <w:t xml:space="preserve">Sukladno svemu navedenom stečajni upravitelj predlaže </w:t>
      </w:r>
    </w:p>
    <w:p w:rsidR="00023ADB" w:rsidRDefault="00983CCF">
      <w:r>
        <w:rPr>
          <w:rFonts w:ascii="Times New Roman" w:hAnsi="Times New Roman"/>
          <w:sz w:val="24"/>
          <w:szCs w:val="24"/>
          <w:lang w:val="pl-PL"/>
        </w:rPr>
        <w:t>- da se prihvati završno izvješće i završni račun</w:t>
      </w:r>
    </w:p>
    <w:p w:rsidR="00023ADB" w:rsidRDefault="00983CCF">
      <w:r>
        <w:rPr>
          <w:rFonts w:ascii="Times New Roman" w:hAnsi="Times New Roman"/>
          <w:sz w:val="24"/>
          <w:szCs w:val="24"/>
          <w:lang w:val="pl-PL"/>
        </w:rPr>
        <w:t>- da se stečajni postupa</w:t>
      </w:r>
      <w:r>
        <w:rPr>
          <w:rFonts w:ascii="Times New Roman" w:hAnsi="Times New Roman"/>
          <w:sz w:val="24"/>
          <w:szCs w:val="24"/>
          <w:lang w:val="pl-PL"/>
        </w:rPr>
        <w:t>k zaključi temeljem čl. 286. st. 1 Stečajnoga zakona.</w:t>
      </w:r>
    </w:p>
    <w:p w:rsidR="00023ADB" w:rsidRDefault="00023ADB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023ADB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23ADB" w:rsidRDefault="00983CCF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  <w:lang w:val="pl-PL"/>
        </w:rPr>
        <w:t>U Koprivnici, 19. kolovoza 2019. godine                                       Stečajni upravitelj:</w:t>
      </w:r>
    </w:p>
    <w:p w:rsidR="00023ADB" w:rsidRDefault="00983CCF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Zlatko Kosec, dipl.oec.</w:t>
      </w:r>
    </w:p>
    <w:p w:rsidR="00023ADB" w:rsidRDefault="00023ADB">
      <w:pPr>
        <w:pStyle w:val="Bezproreda"/>
        <w:spacing w:after="80"/>
        <w:rPr>
          <w:rFonts w:ascii="Times New Roman" w:hAnsi="Times New Roman"/>
          <w:b/>
          <w:sz w:val="24"/>
          <w:szCs w:val="24"/>
        </w:rPr>
      </w:pPr>
    </w:p>
    <w:p w:rsidR="00023ADB" w:rsidRDefault="00983CCF">
      <w:pPr>
        <w:pStyle w:val="Bezproreda"/>
        <w:spacing w:after="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COMPLEX d.o.o. u stečaju</w:t>
      </w:r>
    </w:p>
    <w:p w:rsidR="00023ADB" w:rsidRDefault="00983CCF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Ulica dr. Ante Starčevića 63/b</w:t>
      </w:r>
    </w:p>
    <w:p w:rsidR="00023ADB" w:rsidRDefault="00983CCF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 r i b i s l a v e c</w:t>
      </w:r>
    </w:p>
    <w:p w:rsidR="00023ADB" w:rsidRDefault="00023ADB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23ADB" w:rsidRDefault="00983CCF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Koprivnici, 19. kolovoza 2019. godine.</w:t>
      </w:r>
    </w:p>
    <w:p w:rsidR="00023ADB" w:rsidRDefault="00023ADB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23ADB" w:rsidRDefault="00023ADB">
      <w:pPr>
        <w:rPr>
          <w:b/>
          <w:bCs/>
        </w:rPr>
      </w:pPr>
    </w:p>
    <w:p w:rsidR="00023ADB" w:rsidRDefault="00023ADB">
      <w:pPr>
        <w:rPr>
          <w:b/>
          <w:bCs/>
        </w:rPr>
      </w:pPr>
    </w:p>
    <w:p w:rsidR="00023ADB" w:rsidRDefault="00023ADB">
      <w:pPr>
        <w:spacing w:after="0"/>
        <w:rPr>
          <w:b/>
          <w:bCs/>
        </w:rPr>
      </w:pPr>
    </w:p>
    <w:p w:rsidR="00023ADB" w:rsidRDefault="00983CCF">
      <w:pPr>
        <w:spacing w:after="0"/>
        <w:ind w:firstLine="510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TRGOVAČKI SUD U VARAŽDINU</w:t>
      </w:r>
    </w:p>
    <w:p w:rsidR="00023ADB" w:rsidRDefault="00983CCF">
      <w:pPr>
        <w:spacing w:after="0"/>
        <w:ind w:firstLine="510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Poslovni broj: 5 St-570/16</w:t>
      </w:r>
    </w:p>
    <w:p w:rsidR="00023ADB" w:rsidRDefault="00983CCF">
      <w:pPr>
        <w:spacing w:after="0"/>
        <w:ind w:firstLine="510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Varaždin</w:t>
      </w:r>
    </w:p>
    <w:p w:rsidR="00023ADB" w:rsidRDefault="00023ADB">
      <w:pPr>
        <w:ind w:firstLine="5103"/>
        <w:rPr>
          <w:rFonts w:ascii="Times New Roman" w:hAnsi="Times New Roman"/>
          <w:b/>
          <w:sz w:val="24"/>
          <w:szCs w:val="24"/>
        </w:rPr>
      </w:pPr>
    </w:p>
    <w:p w:rsidR="00023ADB" w:rsidRDefault="00023ADB">
      <w:pPr>
        <w:ind w:firstLine="5103"/>
        <w:rPr>
          <w:b/>
        </w:rPr>
      </w:pPr>
    </w:p>
    <w:p w:rsidR="00023ADB" w:rsidRDefault="00983CC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 r e d m e t: Dostava završnog računa </w:t>
      </w:r>
      <w:r>
        <w:rPr>
          <w:rFonts w:ascii="Times New Roman" w:hAnsi="Times New Roman"/>
          <w:b/>
          <w:sz w:val="24"/>
          <w:szCs w:val="24"/>
        </w:rPr>
        <w:t>stečajnoga upravitelja</w:t>
      </w:r>
    </w:p>
    <w:p w:rsidR="00023ADB" w:rsidRDefault="00023ADB">
      <w:pPr>
        <w:rPr>
          <w:b/>
        </w:rPr>
      </w:pPr>
    </w:p>
    <w:p w:rsidR="00023ADB" w:rsidRDefault="00023ADB">
      <w:pPr>
        <w:rPr>
          <w:b/>
        </w:rPr>
      </w:pPr>
    </w:p>
    <w:p w:rsidR="00023ADB" w:rsidRDefault="00983CCF">
      <w:pPr>
        <w:pStyle w:val="Bezproreda"/>
        <w:ind w:firstLine="851"/>
        <w:jc w:val="both"/>
      </w:pPr>
      <w:r>
        <w:rPr>
          <w:rFonts w:ascii="Times New Roman" w:hAnsi="Times New Roman"/>
        </w:rPr>
        <w:t xml:space="preserve">U privitku dopisa na spis Trgovačkog suda u Varaždinu,  poslovni broj 5 St-570/16 dostavlja se na propisanom obrascu 22,  Završnog računa u stečajnom postupku vođenom nad </w:t>
      </w:r>
      <w:r>
        <w:rPr>
          <w:rFonts w:ascii="Times New Roman" w:hAnsi="Times New Roman"/>
          <w:b/>
          <w:sz w:val="24"/>
          <w:szCs w:val="24"/>
        </w:rPr>
        <w:t>COMPLEX d.o.o. u stečaju, Ulica dr. Ante Starčevića 63/b, Pr</w:t>
      </w:r>
      <w:r>
        <w:rPr>
          <w:rFonts w:ascii="Times New Roman" w:hAnsi="Times New Roman"/>
          <w:b/>
          <w:sz w:val="24"/>
          <w:szCs w:val="24"/>
        </w:rPr>
        <w:t>ibislavec.</w:t>
      </w:r>
    </w:p>
    <w:p w:rsidR="00023ADB" w:rsidRDefault="00023ADB">
      <w:pPr>
        <w:ind w:firstLine="851"/>
        <w:jc w:val="both"/>
        <w:rPr>
          <w:b/>
          <w:bCs/>
        </w:rPr>
      </w:pPr>
    </w:p>
    <w:p w:rsidR="00023ADB" w:rsidRDefault="00023ADB">
      <w:pPr>
        <w:ind w:firstLine="851"/>
        <w:jc w:val="both"/>
      </w:pPr>
    </w:p>
    <w:p w:rsidR="00023ADB" w:rsidRDefault="00023ADB">
      <w:pPr>
        <w:ind w:firstLine="851"/>
        <w:jc w:val="both"/>
      </w:pPr>
    </w:p>
    <w:p w:rsidR="00023ADB" w:rsidRDefault="00023ADB">
      <w:pPr>
        <w:ind w:firstLine="851"/>
        <w:jc w:val="both"/>
      </w:pPr>
    </w:p>
    <w:p w:rsidR="00023ADB" w:rsidRDefault="00023ADB">
      <w:pPr>
        <w:ind w:firstLine="851"/>
        <w:jc w:val="both"/>
      </w:pPr>
    </w:p>
    <w:p w:rsidR="00023ADB" w:rsidRDefault="00983CCF">
      <w:pPr>
        <w:spacing w:after="0"/>
        <w:ind w:firstLine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upravitelj:</w:t>
      </w:r>
    </w:p>
    <w:p w:rsidR="00023ADB" w:rsidRDefault="00983CCF">
      <w:pPr>
        <w:spacing w:after="0"/>
        <w:ind w:firstLine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Zlatko Kosec, dipl. oec.</w:t>
      </w:r>
    </w:p>
    <w:p w:rsidR="00023ADB" w:rsidRDefault="00023ADB">
      <w:pPr>
        <w:spacing w:after="0"/>
        <w:rPr>
          <w:rFonts w:ascii="Times New Roman" w:hAnsi="Times New Roman"/>
          <w:sz w:val="24"/>
          <w:szCs w:val="24"/>
        </w:rPr>
      </w:pPr>
    </w:p>
    <w:p w:rsidR="00023ADB" w:rsidRDefault="00023ADB"/>
    <w:sectPr w:rsidR="00023AD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  <w:formProt w:val="false"/>
      <w:docGrid w:linePitch="360" w:charSpace="409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0000" w:rsidRDefault="00983CCF">
      <w:pPr>
        <w:spacing w:after="0"/>
      </w:pPr>
      <w:r>
        <w:separator/>
      </w:r>
    </w:p>
  </w:endnote>
  <w:endnote w:type="continuationSeparator" w:id="0">
    <w:p w:rsidR="00000000" w:rsidRDefault="00983CCF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ADB" w:rsidRDefault="00023AD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0000" w:rsidRDefault="00983CCF">
      <w:pPr>
        <w:spacing w:after="0"/>
      </w:pPr>
      <w:r>
        <w:separator/>
      </w:r>
    </w:p>
  </w:footnote>
  <w:footnote w:type="continuationSeparator" w:id="0">
    <w:p w:rsidR="00000000" w:rsidRDefault="00983CCF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ADB" w:rsidRDefault="00023AD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ADB"/>
    <w:rsid w:val="00023ADB"/>
    <w:rsid w:val="0098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1ABE"/>
    <w:pPr>
      <w:overflowPunct w:val="false"/>
      <w:spacing w:after="80"/>
    </w:pPr>
    <w:rPr>
      <w:rFonts w:eastAsia="Calibri" w:cs="Times New Roman" w:asciiTheme="minorHAnsi" w:hAnsiTheme="minorHAnsi"/>
      <w:kern w:val="0"/>
      <w:sz w:val="22"/>
      <w:szCs w:val="22"/>
      <w:lang w:eastAsia="en-US" w:bidi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qFormat/>
    <w:rsid w:val="005F1ABE"/>
    <w:rPr>
      <w:rFonts w:ascii="Calibri" w:hAnsi="Calibri" w:eastAsia="Calibri" w:cs="Times New Roman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qFormat/>
    <w:rsid w:val="005F1ABE"/>
    <w:rPr>
      <w:rFonts w:ascii="Calibri" w:hAnsi="Calibri" w:eastAsia="Calibri" w:cs="Times New Roman"/>
      <w:lang w:eastAsia="en-US"/>
    </w:rPr>
  </w:style>
  <w:style w:type="character" w:styleId="ListLabel9" w:customStyle="true">
    <w:name w:val="ListLabel 9"/>
    <w:qFormat/>
    <w:rPr>
      <w:rFonts w:cs="Times New Roman"/>
    </w:rPr>
  </w:style>
  <w:style w:type="character" w:styleId="ListLabel8" w:customStyle="true">
    <w:name w:val="ListLabel 8"/>
    <w:qFormat/>
    <w:rPr>
      <w:rFonts w:cs="Times New Roman"/>
    </w:rPr>
  </w:style>
  <w:style w:type="character" w:styleId="ListLabel7" w:customStyle="true">
    <w:name w:val="ListLabel 7"/>
    <w:qFormat/>
    <w:rPr>
      <w:rFonts w:cs="Times New Roman"/>
    </w:rPr>
  </w:style>
  <w:style w:type="character" w:styleId="ListLabel6" w:customStyle="true">
    <w:name w:val="ListLabel 6"/>
    <w:qFormat/>
    <w:rPr>
      <w:rFonts w:cs="Times New Roman"/>
    </w:rPr>
  </w:style>
  <w:style w:type="character" w:styleId="ListLabel5" w:customStyle="true">
    <w:name w:val="ListLabel 5"/>
    <w:qFormat/>
    <w:rPr>
      <w:rFonts w:cs="Times New Roman"/>
    </w:rPr>
  </w:style>
  <w:style w:type="character" w:styleId="ListLabel4" w:customStyle="true">
    <w:name w:val="ListLabel 4"/>
    <w:qFormat/>
    <w:rPr>
      <w:rFonts w:cs="Times New Roman"/>
    </w:rPr>
  </w:style>
  <w:style w:type="character" w:styleId="ListLabel3" w:customStyle="true">
    <w:name w:val="ListLabel 3"/>
    <w:qFormat/>
    <w:rPr>
      <w:rFonts w:cs="Times New Roman"/>
    </w:rPr>
  </w:style>
  <w:style w:type="character" w:styleId="ListLabel2" w:customStyle="true">
    <w:name w:val="ListLabel 2"/>
    <w:qFormat/>
    <w:rPr>
      <w:rFonts w:cs="Times New Roman"/>
    </w:rPr>
  </w:style>
  <w:style w:type="character" w:styleId="ListLabel1" w:customStyle="true">
    <w:name w:val="ListLabel 1"/>
    <w:qFormat/>
    <w:rPr>
      <w:rFonts w:cs="Times New Roman"/>
    </w:rPr>
  </w:style>
  <w:style w:type="character" w:styleId="Simbolinumeriranja" w:customStyle="true">
    <w:name w:val="Simboli numeriranja"/>
    <w:qFormat/>
  </w:style>
  <w:style w:type="character" w:styleId="Grafikeoznake1" w:customStyle="true">
    <w:name w:val="Grafičke oznake1"/>
    <w:qFormat/>
    <w:rPr>
      <w:rFonts w:ascii="OpenSymbol" w:hAnsi="OpenSymbol" w:eastAsia="OpenSymbol" w:cs="OpenSymbol"/>
    </w:rPr>
  </w:style>
  <w:style w:type="paragraph" w:styleId="Stilnaslova" w:customStyle="true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true">
    <w:name w:val="Indeks"/>
    <w:basedOn w:val="Normal"/>
    <w:qFormat/>
    <w:pPr>
      <w:suppressLineNumbers/>
    </w:pPr>
    <w:rPr>
      <w:rFonts w:cs="Arial"/>
    </w:rPr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paragraph" w:styleId="Bezproreda">
    <w:name w:val="No Spacing"/>
    <w:uiPriority w:val="1"/>
    <w:qFormat/>
    <w:rsid w:val="007F3AAD"/>
    <w:pPr>
      <w:overflowPunct w:val="false"/>
    </w:pPr>
    <w:rPr>
      <w:rFonts w:eastAsia="Calibri" w:cs="Times New Roman" w:asciiTheme="minorHAnsi" w:hAnsiTheme="minorHAnsi"/>
      <w:kern w:val="0"/>
      <w:sz w:val="22"/>
      <w:szCs w:val="22"/>
      <w:lang w:eastAsia="en-US" w:bidi="ar-SA"/>
    </w:rPr>
  </w:style>
  <w:style w:type="paragraph" w:styleId="Odlomakpopisa">
    <w:name w:val="List Paragraph"/>
    <w:basedOn w:val="Normal"/>
    <w:qFormat/>
    <w:pPr>
      <w:ind w:left="720"/>
      <w:contextualSpacing/>
    </w:pPr>
  </w:style>
  <w:style w:type="paragraph" w:styleId="Sadrajitablice" w:customStyle="true">
    <w:name w:val="Sadržaji tablice"/>
    <w:basedOn w:val="Normal"/>
    <w:qFormat/>
    <w:pPr>
      <w:suppressLineNumbers/>
    </w:pPr>
  </w:style>
  <w:style w:type="paragraph" w:styleId="Naslovtablice" w:customStyle="true">
    <w:name w:val="Naslov tablice"/>
    <w:basedOn w:val="Sadrajitablice"/>
    <w:qFormat/>
    <w:pPr>
      <w:jc w:val="center"/>
    </w:pPr>
    <w:rPr>
      <w:b/>
      <w:bCs/>
    </w:rPr>
  </w:style>
  <w:style w:type="table" w:styleId="Reetkatablice">
    <w:name w:val="Table Grid"/>
    <w:basedOn w:val="Obinatablica"/>
    <w:uiPriority w:val="59"/>
    <w:rsid w:val="007F3AA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83C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3CC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3CCF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3CC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3CC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6E830-FCFD-4704-A368-478F7E7E62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5</properties:Pages>
  <properties:Words>1214</properties:Words>
  <properties:Characters>7086</properties:Characters>
  <properties:Lines>323</properties:Lines>
  <properties:Paragraphs>208</properties:Paragraphs>
  <properties:TotalTime>53</properties:TotalTime>
  <properties:ScaleCrop>false</properties:ScaleCrop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2019-08-21T10:13:00Z</dcterms:created>
  <dc:creator>ADMINIBM</dc:creator>
  <dc:description/>
  <dc:language>hr-HR</dc:language>
  <cp:lastModifiedBy>Lea Rogina</cp:lastModifiedBy>
  <dcterms:modified xmlns:xsi="http://www.w3.org/2001/XMLSchema-instance" xsi:type="dcterms:W3CDTF">2019-08-22T12:25:00Z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AppVersion">
    <vt:lpwstr>12.0000</vt:lpwstr>
  </prop:property>
  <prop:property fmtid="{D5CDD505-2E9C-101B-9397-08002B2CF9AE}" pid="3" name="Company">
    <vt:lpwstr>IBM Corporation</vt:lpwstr>
  </prop:property>
  <prop:property fmtid="{D5CDD505-2E9C-101B-9397-08002B2CF9AE}" pid="4" name="DocSecurity">
    <vt:i4>0</vt:i4>
  </prop:property>
  <prop:property fmtid="{D5CDD505-2E9C-101B-9397-08002B2CF9AE}" pid="5" name="HyperlinksChanged">
    <vt:bool>false</vt:bool>
  </prop:property>
  <prop:property fmtid="{D5CDD505-2E9C-101B-9397-08002B2CF9AE}" pid="6" name="LinksUpToDate">
    <vt:bool>false</vt:bool>
  </prop:property>
  <prop:property fmtid="{D5CDD505-2E9C-101B-9397-08002B2CF9AE}" pid="7" name="ScaleCrop">
    <vt:bool>false</vt:bool>
  </prop:property>
  <prop:property fmtid="{D5CDD505-2E9C-101B-9397-08002B2CF9AE}" pid="8" name="ShareDoc">
    <vt:bool>false</vt:bool>
  </prop:property>
  <prop:property fmtid="{D5CDD505-2E9C-101B-9397-08002B2CF9AE}" pid="9" name="Saved">
    <vt:bool>true</vt:bool>
  </prop:property>
  <prop:property fmtid="{D5CDD505-2E9C-101B-9397-08002B2CF9AE}" pid="10" name="Naslov">
    <vt:lpwstr>Novi podnesak (O22 Završni račun stečajnoga upravitelja – kopija.docx)</vt:lpwstr>
  </prop:property>
  <prop:property fmtid="{D5CDD505-2E9C-101B-9397-08002B2CF9AE}" pid="11" name="CC_coloring">
    <vt:bool>false</vt:bool>
  </prop:property>
  <prop:property fmtid="{D5CDD505-2E9C-101B-9397-08002B2CF9AE}" pid="12" name="BrojStranica">
    <vt:i4>5</vt:i4>
  </prop:property>
</prop:Properties>
</file>