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57cd" w14:paraId="7d157cd" w:rsidRDefault="002B046D" w:rsidR="002B046D">
      <w:pPr>
        <w:spacing w:lineRule="auto" w:line="240" w:after="0"/>
        <w15:collapsed w:val="false"/>
        <w:rPr>
          <w:rFonts w:cs="Arial" w:eastAsia="Arial" w:hAnsi="Arial" w:ascii="Arial"/>
          <w:b/>
          <w:sz w:val="20"/>
          <w:szCs w:val="20"/>
        </w:rPr>
      </w:pPr>
      <w:bookmarkStart w:name="_GoBack" w:id="0"/>
      <w:bookmarkEnd w:id="0"/>
    </w:p>
    <w:p w:rsidRDefault="00D9685C" w:rsidR="002B046D">
      <w:pPr>
        <w:spacing w:lineRule="auto" w:line="240" w:after="0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Zagreb, 6.3.2019.</w:t>
      </w:r>
      <w:r>
        <w:rPr>
          <w:rFonts w:cs="Arial" w:eastAsia="Arial" w:hAnsi="Arial" w:ascii="Arial"/>
          <w:b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ab/>
      </w:r>
    </w:p>
    <w:p w:rsidRDefault="00D9685C" w:rsidR="002B046D">
      <w:pPr>
        <w:spacing w:lineRule="auto" w:line="240" w:after="0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Znak: 1-003/18</w:t>
      </w:r>
      <w:r>
        <w:rPr>
          <w:rFonts w:cs="Arial" w:eastAsia="Arial" w:hAnsi="Arial" w:ascii="Arial"/>
          <w:b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ab/>
      </w:r>
    </w:p>
    <w:tbl>
      <w:tblPr>
        <w:tblStyle w:val="a"/>
        <w:tblW w:type="dxa" w:w="3375"/>
        <w:tblInd w:type="dxa" w:w="5785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tblLayout w:type="fixed"/>
        <w:tblLook w:val="0600" w:noVBand="1" w:noHBand="1" w:lastColumn="0" w:firstColumn="0" w:lastRow="0" w:firstRow="0"/>
      </w:tblPr>
      <w:tblGrid>
        <w:gridCol w:w="3375"/>
      </w:tblGrid>
      <w:tr w:rsidR="002B046D">
        <w:trPr>
          <w:trHeight w:val="1100"/>
        </w:trPr>
        <w:tc>
          <w:tcPr>
            <w:tcW w:type="dxa" w:w="3375"/>
            <w:shd w:fill="auto" w:color="auto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 w:rsidRDefault="00D9685C" w:rsidR="002B046D">
            <w:pPr>
              <w:widowControl w:val="false"/>
              <w:spacing w:lineRule="auto" w:line="240" w:after="0"/>
              <w:ind w:left="-630"/>
              <w:jc w:val="right"/>
              <w:rPr>
                <w:rFonts w:cs="Arial" w:eastAsia="Arial" w:hAnsi="Arial" w:ascii="Arial"/>
                <w:b/>
                <w:sz w:val="20"/>
                <w:szCs w:val="20"/>
              </w:rPr>
            </w:pPr>
            <w:r>
              <w:rPr>
                <w:rFonts w:cs="Arial" w:eastAsia="Arial" w:hAnsi="Arial" w:ascii="Arial"/>
                <w:b/>
                <w:sz w:val="20"/>
                <w:szCs w:val="20"/>
              </w:rPr>
              <w:t xml:space="preserve"> TRGOVAČKI SUD U ZAGREBU</w:t>
            </w:r>
          </w:p>
          <w:p w:rsidRDefault="00D9685C" w:rsidR="002B046D">
            <w:pPr>
              <w:widowControl w:val="false"/>
              <w:tabs>
                <w:tab w:pos="-276" w:val="left"/>
              </w:tabs>
              <w:spacing w:lineRule="auto" w:line="240" w:after="0"/>
              <w:ind w:left="-630"/>
              <w:jc w:val="right"/>
              <w:rPr>
                <w:rFonts w:cs="Arial" w:eastAsia="Arial" w:hAnsi="Arial" w:ascii="Arial"/>
                <w:b/>
                <w:sz w:val="20"/>
                <w:szCs w:val="20"/>
              </w:rPr>
            </w:pPr>
            <w:r>
              <w:rPr>
                <w:rFonts w:cs="Arial" w:eastAsia="Arial" w:hAnsi="Arial" w:ascii="Arial"/>
                <w:b/>
                <w:sz w:val="20"/>
                <w:szCs w:val="20"/>
              </w:rPr>
              <w:t xml:space="preserve">STALNA SLUŽBA U </w:t>
            </w:r>
          </w:p>
          <w:p w:rsidRDefault="00D9685C" w:rsidR="002B046D">
            <w:pPr>
              <w:widowControl w:val="false"/>
              <w:tabs>
                <w:tab w:pos="-276" w:val="left"/>
              </w:tabs>
              <w:spacing w:lineRule="auto" w:line="240" w:after="0"/>
              <w:ind w:left="-630"/>
              <w:jc w:val="right"/>
              <w:rPr>
                <w:rFonts w:cs="Arial" w:eastAsia="Arial" w:hAnsi="Arial" w:ascii="Arial"/>
                <w:b/>
                <w:sz w:val="20"/>
                <w:szCs w:val="20"/>
              </w:rPr>
            </w:pPr>
            <w:r>
              <w:rPr>
                <w:rFonts w:cs="Arial" w:eastAsia="Arial" w:hAnsi="Arial" w:ascii="Arial"/>
                <w:b/>
                <w:sz w:val="20"/>
                <w:szCs w:val="20"/>
              </w:rPr>
              <w:t xml:space="preserve">KARLOVCU </w:t>
            </w:r>
          </w:p>
          <w:p w:rsidRDefault="00D9685C" w:rsidR="002B046D">
            <w:pPr>
              <w:widowControl w:val="false"/>
              <w:spacing w:lineRule="auto" w:line="240" w:after="0"/>
              <w:jc w:val="right"/>
              <w:rPr>
                <w:rFonts w:cs="Arial" w:eastAsia="Arial" w:hAnsi="Arial" w:ascii="Arial"/>
                <w:b/>
                <w:sz w:val="20"/>
                <w:szCs w:val="20"/>
              </w:rPr>
            </w:pPr>
            <w:r>
              <w:rPr>
                <w:rFonts w:cs="Arial" w:eastAsia="Arial" w:hAnsi="Arial" w:ascii="Arial"/>
                <w:b/>
                <w:sz w:val="20"/>
                <w:szCs w:val="20"/>
              </w:rPr>
              <w:t>Trg Hrvatskih branitelja I/II</w:t>
            </w:r>
          </w:p>
          <w:p w:rsidRDefault="00D9685C" w:rsidR="002B046D">
            <w:pPr>
              <w:widowControl w:val="false"/>
              <w:spacing w:lineRule="auto" w:line="240" w:after="0"/>
              <w:jc w:val="right"/>
              <w:rPr>
                <w:rFonts w:cs="Arial" w:eastAsia="Arial" w:hAnsi="Arial" w:ascii="Arial"/>
                <w:b/>
                <w:sz w:val="20"/>
                <w:szCs w:val="20"/>
              </w:rPr>
            </w:pPr>
            <w:r>
              <w:rPr>
                <w:rFonts w:cs="Arial" w:eastAsia="Arial" w:hAnsi="Arial" w:ascii="Arial"/>
                <w:b/>
                <w:sz w:val="20"/>
                <w:szCs w:val="20"/>
              </w:rPr>
              <w:t>47000 Karlovac</w:t>
            </w:r>
          </w:p>
        </w:tc>
      </w:tr>
    </w:tbl>
    <w:p w:rsidRDefault="002B046D" w:rsidR="002B046D">
      <w:pPr>
        <w:jc w:val="right"/>
        <w:rPr>
          <w:rFonts w:cs="Arial" w:eastAsia="Arial" w:hAnsi="Arial" w:ascii="Arial"/>
          <w:b/>
          <w:sz w:val="20"/>
          <w:szCs w:val="20"/>
        </w:rPr>
      </w:pPr>
    </w:p>
    <w:p w:rsidRDefault="00D9685C" w:rsidR="002B046D">
      <w:pPr>
        <w:jc w:val="right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Na broj: St-1851/18</w:t>
      </w:r>
    </w:p>
    <w:p w:rsidRDefault="002B046D" w:rsidR="002B046D">
      <w:pPr>
        <w:jc w:val="right"/>
        <w:rPr>
          <w:rFonts w:cs="Arial" w:eastAsia="Arial" w:hAnsi="Arial" w:ascii="Arial"/>
          <w:b/>
          <w:sz w:val="20"/>
          <w:szCs w:val="20"/>
        </w:rPr>
      </w:pPr>
    </w:p>
    <w:p w:rsidRDefault="00D9685C" w:rsidR="002B046D">
      <w:pPr>
        <w:ind w:left="2127"/>
        <w:jc w:val="both"/>
        <w:rPr>
          <w:rFonts w:cs="Arial" w:eastAsia="Arial" w:hAnsi="Arial" w:ascii="Arial"/>
          <w:b/>
          <w:sz w:val="20"/>
          <w:szCs w:val="20"/>
        </w:rPr>
      </w:pPr>
      <w:bookmarkStart w:name="_gjdgxs" w:colLast="0" w:colFirst="0" w:id="1"/>
      <w:bookmarkEnd w:id="1"/>
      <w:r>
        <w:rPr>
          <w:rFonts w:cs="Arial" w:eastAsia="Arial" w:hAnsi="Arial" w:ascii="Arial"/>
          <w:sz w:val="20"/>
          <w:szCs w:val="20"/>
        </w:rPr>
        <w:t>STEČAJNI DUŽNIK:</w:t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b/>
          <w:sz w:val="20"/>
          <w:szCs w:val="20"/>
        </w:rPr>
        <w:t>LAKERKO-HARMONIJA OBLIKA d.o.o. u stečaju, Luka, Zagorska cesta 72, OIB 36866050125</w:t>
      </w:r>
    </w:p>
    <w:p w:rsidRDefault="002B046D" w:rsidR="002B046D">
      <w:pPr>
        <w:ind w:left="2127"/>
        <w:jc w:val="both"/>
        <w:rPr>
          <w:rFonts w:cs="Arial" w:eastAsia="Arial" w:hAnsi="Arial" w:ascii="Arial"/>
          <w:b/>
          <w:sz w:val="20"/>
          <w:szCs w:val="20"/>
        </w:rPr>
      </w:pPr>
      <w:bookmarkStart w:name="_pqp4ydz68b32" w:colLast="0" w:colFirst="0" w:id="2"/>
      <w:bookmarkEnd w:id="2"/>
    </w:p>
    <w:p w:rsidRDefault="00D9685C" w:rsidR="002B046D">
      <w:pPr>
        <w:spacing w:after="0"/>
        <w:ind w:left="90"/>
        <w:jc w:val="center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IZVJEŠĆE O GOSPODARSKOM POLOŽAJU</w:t>
      </w:r>
    </w:p>
    <w:p w:rsidRDefault="00D9685C" w:rsidR="002B046D">
      <w:pPr>
        <w:spacing w:after="0"/>
        <w:ind w:left="90"/>
        <w:jc w:val="center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STEČAJNOG DUŽNIKA I NJEGOVIM UZROCIMA</w:t>
      </w:r>
    </w:p>
    <w:p w:rsidRDefault="002B046D" w:rsidR="002B046D">
      <w:pPr>
        <w:spacing w:after="0"/>
        <w:ind w:left="90"/>
        <w:jc w:val="center"/>
        <w:rPr>
          <w:rFonts w:cs="Arial" w:eastAsia="Arial" w:hAnsi="Arial" w:ascii="Arial"/>
          <w:b/>
          <w:sz w:val="20"/>
          <w:szCs w:val="20"/>
        </w:rPr>
      </w:pPr>
    </w:p>
    <w:p w:rsidRDefault="00D9685C" w:rsidR="002B046D">
      <w:pPr>
        <w:spacing w:after="0"/>
        <w:ind w:left="90"/>
        <w:jc w:val="center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Izvještajno ročište određeno za dan 26.3.2019. godine</w:t>
      </w:r>
    </w:p>
    <w:p w:rsidRDefault="002B046D" w:rsidR="002B046D">
      <w:pPr>
        <w:spacing w:after="0"/>
        <w:ind w:left="90"/>
        <w:jc w:val="both"/>
        <w:rPr>
          <w:rFonts w:cs="Arial" w:eastAsia="Arial" w:hAnsi="Arial" w:ascii="Arial"/>
          <w:b/>
          <w:sz w:val="20"/>
          <w:szCs w:val="20"/>
        </w:rPr>
      </w:pPr>
    </w:p>
    <w:p w:rsidRDefault="002B046D" w:rsidR="002B046D">
      <w:pPr>
        <w:spacing w:after="0"/>
        <w:ind w:left="4820"/>
        <w:jc w:val="both"/>
        <w:rPr>
          <w:rFonts w:cs="Arial" w:eastAsia="Arial" w:hAnsi="Arial" w:ascii="Arial"/>
          <w:b/>
          <w:sz w:val="20"/>
          <w:szCs w:val="20"/>
        </w:rPr>
      </w:pPr>
    </w:p>
    <w:p w:rsidRDefault="00D9685C" w:rsidR="002B046D">
      <w:pPr>
        <w:numPr>
          <w:ilvl w:val="0"/>
          <w:numId w:val="3"/>
        </w:numPr>
        <w:spacing w:after="0"/>
        <w:ind w:left="450"/>
        <w:jc w:val="both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UVODNE NAPOMENE</w:t>
      </w:r>
    </w:p>
    <w:p w:rsidRDefault="002B046D" w:rsidR="002B046D">
      <w:pPr>
        <w:spacing w:after="0"/>
        <w:jc w:val="both"/>
        <w:rPr>
          <w:rFonts w:cs="Arial" w:eastAsia="Arial" w:hAnsi="Arial" w:ascii="Arial"/>
          <w:b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Dana 18.7.2018. godine, Siniša Ožegović, Veliko Trgovišće, N. Tesle 4, kao radnik dužnika, podnio je Naslovnom sudu prijedlog za otvaranje stečajnog postupka nad dužnikom LAKERKO-HARMONIJA OBLIKA d.o.o., Luka, Zagorska cesta 72, OIB 36866050125, obzirom da stečajni dužnik  nije isplatio tri uzastopne plaće koje radniku pripadaju prema ugovoru o radu, pravilniku o radu, kolektivnom ugovoru ili posebnom propisu, odnosno prema drugom aktu kojim se uređuju obveze poslodavca.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Stečajni postupak je otvoren rješenjem Naslovnog suda posl.br. St-1851/18 od dana 3.12.2018. godine.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Nakon imenovanja, izvršene su sljedeće radnje: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poslan je dopis bivšoj zakonskoj zastupnici za dostavom dokumentacije;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obavljena je provjera poslovanja na adresi sjedišta društva;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pribavljeno je uvjerenje MUP-a o vlasništvu automobila prema službenoj evidenciji registracije cestovnih vozila;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pribavljena je potvrda Državne geodetske uprave o nekretninama u posjedu;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izvršen je uvid u pomoćni popis zemljišnih knjiga;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izvršen je uvid u predmet posl.br. Ovr-645/2018 kod Općinskog suda u Zlataru;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ugašen je stari i otvoren je novi bankovni račun;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izrađen je novi pečat društva;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vođenje računovodstvene dokumentacije povjereno je ovlaštenom knjigovodstvenom uredu;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obavljeni su izvidi na FINA-i o stanju blokade računa;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poslan je zahtjev Poreznoj upravi za dostavu dokumentacije (bilanca, stanje duga);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pribavljena je potvrda HZMO-a o podacima o osiguranim radnicima;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izvršena je terenska provjera nekretnina na adresi Oroslavlje, M. Prpića 67 a, te je pribavljena ranije izrađena procjena vrijednosti nekretnine;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lastRenderedPageBreak/>
        <w:t xml:space="preserve">- </w:t>
      </w:r>
      <w:r>
        <w:rPr>
          <w:rFonts w:cs="Arial" w:eastAsia="Arial" w:hAnsi="Arial" w:ascii="Arial"/>
          <w:sz w:val="20"/>
          <w:szCs w:val="20"/>
        </w:rPr>
        <w:tab/>
        <w:t>pribavljena je poslovna dokumentacija stečajnog dužnika za 2018. godinu te je kontaktiran prethodni knjigovodstveni ured.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II. OSNOVNI PODACI O STEČAJNOM DUŽNIKU</w:t>
      </w:r>
    </w:p>
    <w:p w:rsidRDefault="002B046D" w:rsidR="002B046D">
      <w:pPr>
        <w:spacing w:after="0"/>
        <w:jc w:val="both"/>
        <w:rPr>
          <w:rFonts w:cs="Arial" w:eastAsia="Arial" w:hAnsi="Arial" w:ascii="Arial"/>
          <w:b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Društvo LAKERKO-HARMONIJA OBLIKA za trgovinu i usluge d.o.o., OIB 36866050125 osnovano je Izjavom o osnivanju društva s ograničenom odgovornošću od 07.12.2010. godine, te je upisano kod Trgovačkog suda u Zagrebu pod MBS  brojem 080748413, s upisanim sjedištem u Luki, Zagorska cesta 12.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 xml:space="preserve">Osnivač društva: 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LAKERKO d.o.o., OIB 91106968664, koji je prestao biti članom Ugovorom o prijenosu poslovnog udjela od dana 9.9.2011. godine kojim je društvo preneseno na: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LAKERKO- PORTA INTERNA d.o.o.,OIB 91354084601, koji je prestao biti članom 2015 godine te je kao jedini član društva upisana: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Bernardica Zuber, OIB: 16718908277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koja je ujedno prethodna zakonska zastupnica društva, zastupala društvo samostalno i pojedinačno u svojstvu direktora.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III. POSLOVANJE DUŽNIKA I UZROCI PRESTANKA POSLOVANJA</w:t>
      </w:r>
    </w:p>
    <w:p w:rsidRDefault="002B046D" w:rsidR="002B046D">
      <w:pPr>
        <w:spacing w:after="0"/>
        <w:jc w:val="both"/>
        <w:rPr>
          <w:rFonts w:cs="Arial" w:eastAsia="Arial" w:hAnsi="Arial" w:ascii="Arial"/>
          <w:b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Stečajni dužnik se bavio proizvodnjom ostale građevne stolarije i elemenata - izradom unutarnje stolarije. Zbog nemogućnosti redovite naplate društvo je zapalo u financijske probleme te nije moglo podmirivati svoje obveze, te je stečajni postupak otvoren na prijedlog radnika, prema kojemu nisu podmirene dospjele plaće.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Stečajni dužnik je u predstečajnom postupku društva STANOING d.o.o., Varaždin, Jurja Habdelića 4, OIB 21611439134, prijavio izlučno pravo u iznosu od 960.039,97 kn na nekretninama upisanim u zk.ul. 14862, poduložak 68. i 48, k.o. Varaždin u osnivanju, međutim  stečajni dužnik se nije upisao kao vlasnik predmetnih nekretnine zbog već tada postojećih zabilježbi ovrhe te su nekretnine prodane u ovršnom postupku. Stečajni dužnik nije uvršten u tablicu utvrđenih tražbina.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Stečajni dužnik je izvršio prijavu potraživanja i u predstečajnom postupku predstečajnog dužnika ARBOR-P.B.TRGOVINA d.o.o. u iznosu 12.431,60 kn te GEO OPREMA CIGLENEČKI d.o.o. nad kojima je naknadno otvoren stečajni postupak te prijava tražbina u stečajnom postupku ARBOR-P.B.TRGOVINA d.o.o. nije izvršena, dok je tražbina u stečajnom postupku GEO OPREMA CIGLENEČKI d.o.o. osporena (protek zastarnog roka).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Stečajni dužnik je poslovao s dva žiro računa: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HR0224020061100587600, kod ERSTE &amp; STEIERMÄRKISCHE BANK d.d.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-</w:t>
      </w:r>
      <w:r>
        <w:rPr>
          <w:rFonts w:cs="Arial" w:eastAsia="Arial" w:hAnsi="Arial" w:ascii="Arial"/>
          <w:sz w:val="20"/>
          <w:szCs w:val="20"/>
        </w:rPr>
        <w:tab/>
        <w:t>HR1723400091110469600, kod PRIVREDNA BANKA ZAGREB d.d.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Financijska Agencija je zbog otvaranja stečajnog postupka prestala izvršavati osnove za plaćanje stoga će rezervirana a neprenesena sredstva biti raspodijeljena u stečajnom postupku.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lastRenderedPageBreak/>
        <w:t>IV. IMOVINA STEČAJNOG DUŽNIKA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Stečajna upraviteljica je izvršila uvid u dostupnu poslovnu dokumentaciju dužnika, osobito u bilance za posljednje tri godine.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Uvidom u financijska izvješća stečajnog dužnika, u bilanci za 2018. godinu stečajni dužnik ima iskazanu kratkotrajnu imovinu u ukupnom iznosu od 1.326.435,00 kn, i to zaliha- trgovačke robe u iznosu 1.181.651,00 te potraživanja u ukupnom  iznosu od 144.559,00 kn.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Uvidom u specifikaciju zalihe trgovačke robe, evidentirani su poslovni prostori namijenjeni prodaji (poslovni prostor PP3 i PP1 u Oroslavlju).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Izvršena je provjera iskazanih potraživanja prema kupcima te ista nisu naplativa.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Usporedbom bilanci prethodnih godina, utvrđeno je u 2017. godini postojanje kratkotrajne imovine ukupne knjigovodstvene vrijednosti 194.229,00 kn. Uvidom u popis dugotrajne imovine, sitnog inventara i dostupnu dokumentaciju, utvrđeno je da je dugotrajna imovina prodana računom br. 5/1/1 od dana 31.1.2018. godine, sitni inventar računom br. 6/1/1 na isti dan,  te je iznos kupoprodajne cijene uplaćen na račun stečajnog dužnika.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Stečajni dužnik je vlasnik nekretnine (u bilanci iskazana kao Trgovačka roba namijenjena prodaji) upisane u zk.ul.br. 3593, k.o., k.o. Oroslavlje, kod zemljišnoknjižnog odjela Donja  Stubica, Općinskog suda u Zlataru i to:</w:t>
      </w:r>
      <w:r>
        <w:rPr>
          <w:rFonts w:cs="Arial" w:eastAsia="Arial" w:hAnsi="Arial" w:ascii="Arial"/>
          <w:sz w:val="20"/>
          <w:szCs w:val="20"/>
        </w:rPr>
        <w:br/>
      </w:r>
    </w:p>
    <w:p w:rsidRDefault="00D9685C" w:rsidR="002B046D">
      <w:pPr>
        <w:numPr>
          <w:ilvl w:val="0"/>
          <w:numId w:val="1"/>
        </w:num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14. Suvlasnički dio: 9278/100000 ETAŽNO VLASNIŠTVO (E-14)</w:t>
      </w:r>
      <w:r>
        <w:rPr>
          <w:rFonts w:cs="Arial" w:eastAsia="Arial" w:hAnsi="Arial" w:ascii="Arial"/>
          <w:sz w:val="20"/>
          <w:szCs w:val="20"/>
        </w:rPr>
        <w:tab/>
        <w:t xml:space="preserve"> - 1. Poslovni prostor oznake PP 1 u podrumu, korisne površine 125,86 m2</w:t>
      </w:r>
      <w:r>
        <w:rPr>
          <w:rFonts w:cs="Arial" w:eastAsia="Arial" w:hAnsi="Arial" w:ascii="Arial"/>
          <w:sz w:val="20"/>
          <w:szCs w:val="20"/>
        </w:rPr>
        <w:br/>
      </w:r>
    </w:p>
    <w:p w:rsidRDefault="00D9685C" w:rsidR="002B046D">
      <w:pPr>
        <w:numPr>
          <w:ilvl w:val="0"/>
          <w:numId w:val="1"/>
        </w:num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16. Suvlasnički dio: 8289/100000 ETAŽNO VLASNIŠTVO (E-16) - 1. Poslovni prostor oznake PP3 u prizemlju, korisne površine 112,43 m2</w:t>
      </w:r>
      <w:r>
        <w:rPr>
          <w:rFonts w:cs="Arial" w:eastAsia="Arial" w:hAnsi="Arial" w:ascii="Arial"/>
          <w:sz w:val="20"/>
          <w:szCs w:val="20"/>
        </w:rPr>
        <w:br/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Na nekretninama je pokrenut postupak ovrhe pod posl.br. Ovr-645/2018, kod Općinskog suda u Zlataru, ali je postupak obustavljen rješenjem od 12.2.2019. godine sukladno članku 168. Stečajnog Zakona, obzirom da je postupak ovrhe pokrenut unutar 60 dana prije podnošenja prijedloga za otvaranje stečajnog postupka.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Za navedene nekretnine je 2017. godine izrađena procjena vrijednosti nekretnine temeljem nalaza i mišljenja stalnog sudskog vještaka iz područja graditeljstva i procjene nekretnina (nekretnine procijenjene u ukupnoj vrijednosti 724,00,00 kn;  poslovni prostor PP1 u iznosu 300.00,00 kn, poslovni prostor PP3  u iznosu 424.000,00 kn). U ovršnom postupku je također 2018. izrađena procjena vrijednosti nekretnine putem stalnog sudskog vještaka Zvonka Benjaka (nekretnine procijenjene u ukupnoj vrijednosti 521.219,08 kn;  poslovni prostor PP1 u iznosu 129.042,69 kn, poslovni prostor PP3  u iznosu 392.176,39 kn)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Stečajni dužnik nije evidentiran kao vlasnik vozila te nije utvrđeno postojanje druge pokretne ili nepokretne imovine.</w:t>
      </w:r>
    </w:p>
    <w:p w:rsidRDefault="00D9685C" w:rsidR="002B046D">
      <w:pPr>
        <w:spacing w:after="0"/>
        <w:jc w:val="both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V. OBVEZE STEČAJNOG DUŽNIKA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Tražbine u I. višem isplatnom redu iznose 16.829,21 kn na ime neisplaćenih plaća i pripadajućih doprinosa.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Tražbine u drugom isplatnom redu prijavilo je osam vjerovnika u ukupnom iznosu od 4.386.992,41 kn, od čega je priznato 1.435.060,27 kn.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Vjerovnik Stefo i Marica Delić podnijeli su Općinskom sudu u Varaždinu tužbu za raskid Ugovora o kupoprodaji stana upisanog u zk.ul.br. 14607, poduložak 17, k.o. Varaždin (u osnivanju), a koji je u zemljišnim knjigama upisan na ime vjerovnika te stečajna upraviteljica predlaže ugovorne i vlasničke odnose riješiti u okviru već pokrenute parnice, ako vjerovnici podnesu prijedlog za nastavak parnice sukladno članku 269. Stečajnog zakona. Predmetna nekretnina, u slučaju raskida Ugovora, predstavljala bi stečajnu masu koja bi bila raspoloživa za unovčenje.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Tražbina vjerovnika TEHNIKA d.d. osporena je jer su, sukladno priloženom Ugovoru, isporučene i izvršene usluge koje su bile predmet avansnih plaćanja, a što proizlazi iz građevinskih dnevnika koji su potpisani i od strane TEHNIKE d.d.. Priloženi računi su podmireni razlikom preostalih nefakturiranih troškova.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Prijave izlučnih i razlučnih prava nije bilo, izuzev prijave vjerovnika R POLIS d.o.o. kojemu je razlučno pravo stečeno ovršnim postupkom posl.br.  Ovr-645/18 prestalo zbog gore objašnjenih razloga.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Stečajni dužnik danom otvaranja stečaja nema evidentiranih zaposlenika.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Predračun mjesečnih troškova stečajnog postupka:</w:t>
      </w:r>
    </w:p>
    <w:p w:rsidRDefault="002B046D" w:rsidR="002B046D">
      <w:pPr>
        <w:spacing w:after="0"/>
        <w:jc w:val="both"/>
        <w:rPr>
          <w:rFonts w:cs="Arial" w:eastAsia="Arial" w:hAnsi="Arial" w:ascii="Arial"/>
          <w:b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Troškovi ureda  (izrada pečata,biljezi, poštarine...)</w:t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  <w:t xml:space="preserve">   200,00 kn</w:t>
      </w:r>
      <w:r>
        <w:rPr>
          <w:rFonts w:cs="Arial" w:eastAsia="Arial" w:hAnsi="Arial" w:ascii="Arial"/>
          <w:sz w:val="20"/>
          <w:szCs w:val="20"/>
        </w:rPr>
        <w:br/>
        <w:t>Trošak platnog prometa</w:t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  <w:t xml:space="preserve">     30,00 kn</w:t>
      </w:r>
      <w:r>
        <w:rPr>
          <w:rFonts w:cs="Arial" w:eastAsia="Arial" w:hAnsi="Arial" w:ascii="Arial"/>
          <w:sz w:val="20"/>
          <w:szCs w:val="20"/>
        </w:rPr>
        <w:br/>
        <w:t>Knjigovodstvene usluge</w:t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  <w:t xml:space="preserve">   500,00 kn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Putni troškovi</w:t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  <w:t xml:space="preserve">   200,00 kn</w:t>
      </w:r>
      <w:r>
        <w:rPr>
          <w:rFonts w:cs="Arial" w:eastAsia="Arial" w:hAnsi="Arial" w:ascii="Arial"/>
          <w:sz w:val="20"/>
          <w:szCs w:val="20"/>
        </w:rPr>
        <w:br/>
        <w:t>UKUPNO/ mj :</w:t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  <w:t xml:space="preserve">          </w:t>
      </w:r>
      <w:r>
        <w:rPr>
          <w:rFonts w:cs="Arial" w:eastAsia="Arial" w:hAnsi="Arial" w:ascii="Arial"/>
          <w:sz w:val="20"/>
          <w:szCs w:val="20"/>
        </w:rPr>
        <w:tab/>
        <w:t xml:space="preserve">   930,00 kn </w:t>
      </w:r>
      <w:r>
        <w:rPr>
          <w:rFonts w:cs="Arial" w:eastAsia="Arial" w:hAnsi="Arial" w:ascii="Arial"/>
          <w:sz w:val="20"/>
          <w:szCs w:val="20"/>
        </w:rPr>
        <w:br/>
      </w:r>
      <w:r>
        <w:rPr>
          <w:rFonts w:cs="Arial" w:eastAsia="Arial" w:hAnsi="Arial" w:ascii="Arial"/>
          <w:sz w:val="20"/>
          <w:szCs w:val="20"/>
        </w:rPr>
        <w:br/>
        <w:t>uvećano za nagradu stečajnoj upraviteljici ovisno o vrijednosti unovčene imovine po rješenju suda.</w:t>
      </w:r>
      <w:r>
        <w:rPr>
          <w:rFonts w:cs="Arial" w:eastAsia="Arial" w:hAnsi="Arial" w:ascii="Arial"/>
          <w:sz w:val="20"/>
          <w:szCs w:val="20"/>
        </w:rPr>
        <w:br/>
      </w:r>
    </w:p>
    <w:p w:rsidRDefault="00D9685C" w:rsidR="002B046D">
      <w:pPr>
        <w:spacing w:after="0"/>
        <w:jc w:val="both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VI. ZAKLJUČCI I PRIJEDLOZI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Stečajna upraviteljica predlaže da vjerovnici na ročištu usvoje sljedeće zaključke:</w:t>
      </w:r>
    </w:p>
    <w:p w:rsidRDefault="002B046D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numPr>
          <w:ilvl w:val="0"/>
          <w:numId w:val="2"/>
        </w:num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Prihvaća se izvješće stečajne upraviteljice o gospodarskom položaju stečajnog dužnika i njegovim uzrocima.</w:t>
      </w:r>
    </w:p>
    <w:p w:rsidRDefault="002B046D" w:rsidR="002B046D">
      <w:pPr>
        <w:spacing w:after="0"/>
        <w:ind w:left="72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numPr>
          <w:ilvl w:val="0"/>
          <w:numId w:val="2"/>
        </w:num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Utvrđuje se da nema mogućnosti za ponovno pokretanje poslovanja stečajnog dužnika.</w:t>
      </w:r>
    </w:p>
    <w:p w:rsidRDefault="002B046D" w:rsidR="002B046D">
      <w:pPr>
        <w:spacing w:after="0"/>
        <w:ind w:left="72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numPr>
          <w:ilvl w:val="0"/>
          <w:numId w:val="2"/>
        </w:num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Prihvaćaju se do sada poduzete radnje stečajne upraviteljice.</w:t>
      </w:r>
    </w:p>
    <w:p w:rsidRDefault="002B046D" w:rsidR="002B046D">
      <w:pPr>
        <w:spacing w:after="0"/>
        <w:ind w:left="72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numPr>
          <w:ilvl w:val="0"/>
          <w:numId w:val="2"/>
        </w:num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>Predlaže se utvrditi vrijednost nekretnine sukladno jednoj od već izrađenih procjena u svrhu ekonomičnosti postupka te donijeti odluku o načinu unovčenja nekretnina.</w:t>
      </w:r>
    </w:p>
    <w:p w:rsidRDefault="002B046D" w:rsidR="002B046D">
      <w:pPr>
        <w:spacing w:after="0"/>
        <w:ind w:left="720"/>
        <w:jc w:val="both"/>
        <w:rPr>
          <w:rFonts w:cs="Arial" w:eastAsia="Arial" w:hAnsi="Arial" w:ascii="Arial"/>
          <w:sz w:val="20"/>
          <w:szCs w:val="20"/>
        </w:rPr>
      </w:pPr>
    </w:p>
    <w:p w:rsidRDefault="00D9685C" w:rsidR="002B046D">
      <w:pPr>
        <w:spacing w:after="0"/>
        <w:ind w:hanging="540" w:left="72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 xml:space="preserve">   5.</w:t>
      </w:r>
      <w:r>
        <w:rPr>
          <w:rFonts w:cs="Arial" w:eastAsia="Arial" w:hAnsi="Arial" w:ascii="Arial"/>
          <w:sz w:val="20"/>
          <w:szCs w:val="20"/>
        </w:rPr>
        <w:tab/>
        <w:t>Daje se odobrenje stečajnoj upraviteljici u slučaju potrebe za upuštanjem u parnicu izdati punomoć za zastupanje odvjetniku.</w:t>
      </w:r>
    </w:p>
    <w:p w:rsidRDefault="00D9685C" w:rsidR="002B046D">
      <w:pPr>
        <w:spacing w:after="0"/>
        <w:jc w:val="both"/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 xml:space="preserve"> </w:t>
      </w:r>
    </w:p>
    <w:p w:rsidRDefault="00D9685C" w:rsidR="002B046D">
      <w:pPr>
        <w:spacing w:after="0"/>
        <w:jc w:val="right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t>Stečajna upraviteljica</w:t>
      </w:r>
    </w:p>
    <w:p w:rsidRDefault="00D9685C" w:rsidR="002B046D">
      <w:pPr>
        <w:spacing w:after="0"/>
        <w:jc w:val="right"/>
        <w:rPr>
          <w:rFonts w:cs="Arial" w:eastAsia="Arial" w:hAnsi="Arial" w:ascii="Arial"/>
          <w:b/>
          <w:sz w:val="20"/>
          <w:szCs w:val="20"/>
        </w:rPr>
      </w:pPr>
      <w:r>
        <w:rPr>
          <w:rFonts w:cs="Arial" w:eastAsia="Arial" w:hAnsi="Arial" w:ascii="Arial"/>
          <w:b/>
          <w:sz w:val="20"/>
          <w:szCs w:val="20"/>
        </w:rPr>
        <w:lastRenderedPageBreak/>
        <w:t>MARINA MAMIĆ</w:t>
      </w:r>
    </w:p>
    <w:p w:rsidRDefault="002B046D" w:rsidR="002B046D">
      <w:pPr>
        <w:rPr>
          <w:rFonts w:cs="Arial" w:eastAsia="Arial" w:hAnsi="Arial" w:ascii="Arial"/>
          <w:sz w:val="20"/>
          <w:szCs w:val="20"/>
        </w:rPr>
      </w:pPr>
    </w:p>
    <w:p w:rsidRDefault="002B046D" w:rsidR="002B046D">
      <w:pPr>
        <w:rPr>
          <w:rFonts w:cs="Arial" w:eastAsia="Arial" w:hAnsi="Arial" w:ascii="Arial"/>
          <w:b/>
          <w:sz w:val="20"/>
          <w:szCs w:val="20"/>
        </w:rPr>
      </w:pPr>
    </w:p>
    <w:sectPr w:rsidR="002B046D">
      <w:headerReference w:type="default" r:id="rId9"/>
      <w:footerReference w:type="default" r:id="rId10"/>
      <w:headerReference w:type="first" r:id="rId11"/>
      <w:footerReference w:type="first" r:id="rId12"/>
      <w:pgSz w:h="16838" w:w="11906"/>
      <w:pgMar w:gutter="0" w:footer="708" w:header="708" w:left="1440" w:bottom="1417" w:right="1417" w:top="1417"/>
      <w:pgNumType w:star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85C" w:rsidR="00D9685C">
      <w:pPr>
        <w:spacing w:lineRule="auto" w:line="240" w:after="0"/>
      </w:pPr>
      <w:r>
        <w:separator/>
      </w:r>
    </w:p>
  </w:endnote>
  <w:endnote w:id="0" w:type="continuationSeparator">
    <w:p w:rsidRDefault="00D9685C" w:rsidR="00D968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46D" w:rsidR="002B046D">
    <w:pPr>
      <w:pBdr>
        <w:top w:val="nil"/>
        <w:left w:val="nil"/>
        <w:bottom w:space="1" w:sz="6" w:color="000000" w:val="single"/>
        <w:right w:val="nil"/>
        <w:between w:val="nil"/>
      </w:pBdr>
      <w:tabs>
        <w:tab w:pos="1725" w:val="left"/>
      </w:tabs>
      <w:spacing w:lineRule="auto" w:line="240" w:after="0"/>
      <w:jc w:val="center"/>
      <w:rPr>
        <w:color w:val="000000"/>
        <w:sz w:val="20"/>
        <w:szCs w:val="20"/>
      </w:rPr>
    </w:pPr>
  </w:p>
  <w:p w:rsidRDefault="00D9685C" w:rsidR="002B046D">
    <w:pPr>
      <w:pBdr>
        <w:top w:val="nil"/>
        <w:left w:val="nil"/>
        <w:bottom w:val="nil"/>
        <w:right w:val="nil"/>
        <w:between w:val="nil"/>
      </w:pBdr>
      <w:tabs>
        <w:tab w:pos="1725" w:val="left"/>
      </w:tabs>
      <w:spacing w:lineRule="auto" w:line="240" w:after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Stečajna upraviteljica Marina Mamić</w:t>
    </w:r>
  </w:p>
  <w:p w:rsidRDefault="00D9685C" w:rsidR="002B046D">
    <w:pPr>
      <w:pBdr>
        <w:top w:val="nil"/>
        <w:left w:val="nil"/>
        <w:bottom w:val="nil"/>
        <w:right w:val="nil"/>
        <w:between w:val="nil"/>
      </w:pBdr>
      <w:tabs>
        <w:tab w:pos="1725" w:val="left"/>
      </w:tabs>
      <w:spacing w:lineRule="auto" w:line="240" w:after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Kruge 9, HR- 10000 Zagreb  M: 00385(0) 99 7767075 </w:t>
    </w:r>
    <w:r>
      <w:rPr>
        <w:sz w:val="20"/>
        <w:szCs w:val="20"/>
      </w:rPr>
      <w:t xml:space="preserve"> F: 00385(0) 1 556 776 </w:t>
    </w:r>
    <w:r>
      <w:rPr>
        <w:color w:val="000000"/>
        <w:sz w:val="20"/>
        <w:szCs w:val="20"/>
      </w:rPr>
      <w:t>E: marina.mamic.zg@gmail.com</w:t>
    </w:r>
  </w:p>
  <w:p w:rsidRDefault="00D9685C" w:rsidR="002B046D">
    <w:pPr>
      <w:pBdr>
        <w:top w:val="nil"/>
        <w:left w:val="nil"/>
        <w:bottom w:val="nil"/>
        <w:right w:val="nil"/>
        <w:between w:val="nil"/>
      </w:pBdr>
      <w:tabs>
        <w:tab w:pos="1725" w:val="left"/>
      </w:tabs>
      <w:spacing w:lineRule="auto" w:line="240" w:after="0"/>
      <w:jc w:val="right"/>
      <w:rPr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667DE">
      <w:rPr>
        <w:noProof/>
        <w:color w:val="000000"/>
        <w:sz w:val="20"/>
        <w:szCs w:val="20"/>
      </w:rPr>
      <w:t>5</w: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46D" w:rsidR="002B046D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85C" w:rsidR="00D9685C">
      <w:pPr>
        <w:spacing w:lineRule="auto" w:line="240" w:after="0"/>
      </w:pPr>
      <w:r>
        <w:separator/>
      </w:r>
    </w:p>
  </w:footnote>
  <w:footnote w:id="0" w:type="continuationSeparator">
    <w:p w:rsidRDefault="00D9685C" w:rsidR="00D968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85C" w:rsidR="002B046D">
    <w:pPr>
      <w:pBdr>
        <w:bottom w:space="1" w:sz="12" w:color="000000" w:val="single"/>
      </w:pBdr>
      <w:tabs>
        <w:tab w:pos="1073" w:val="left"/>
        <w:tab w:pos="1128" w:val="left"/>
        <w:tab w:pos="6237" w:val="left"/>
      </w:tabs>
      <w:spacing w:lineRule="auto" w:line="240" w:after="0"/>
    </w:pPr>
    <w:r>
      <w:rPr>
        <w:noProof/>
      </w:rPr>
      <w:drawing>
        <wp:anchor allowOverlap="true" hidden="false" layoutInCell="true" locked="false" behindDoc="false" relativeHeight="251658240" simplePos="false" distR="114300" distL="114300" distB="0" distT="0">
          <wp:simplePos y="0" x="0"/>
          <wp:positionH relativeFrom="column">
            <wp:posOffset>2614930</wp:posOffset>
          </wp:positionH>
          <wp:positionV relativeFrom="paragraph">
            <wp:posOffset>-327659</wp:posOffset>
          </wp:positionV>
          <wp:extent cy="348684" cx="535940"/>
          <wp:effectExtent b="0" r="0" t="0" l="0"/>
          <wp:wrapSquare distR="114300" distL="114300" distB="0" distT="0" wrapText="bothSides"/>
          <wp:docPr name="image1.png" id="1"/>
          <wp:cNvGraphicFramePr/>
          <a:graphic>
            <a:graphicData uri="http://schemas.openxmlformats.org/drawingml/2006/picture">
              <pic:pic>
                <pic:nvPicPr>
                  <pic:cNvPr name="image1.png" id="0"/>
                  <pic:cNvPicPr preferRelativeResize="false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y="0" x="0"/>
                    <a:ext cy="348684" cx="5359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Default="00D9685C" w:rsidR="002B046D">
    <w:pPr>
      <w:pBdr>
        <w:bottom w:space="1" w:sz="12" w:color="000000" w:val="single"/>
      </w:pBdr>
      <w:tabs>
        <w:tab w:pos="1073" w:val="left"/>
        <w:tab w:pos="1128" w:val="left"/>
        <w:tab w:pos="6237" w:val="left"/>
      </w:tabs>
      <w:spacing w:lineRule="auto" w:line="240" w:after="0"/>
      <w:rPr>
        <w:sz w:val="20"/>
        <w:szCs w:val="20"/>
      </w:rPr>
    </w:pPr>
    <w:r>
      <w:tab/>
    </w:r>
    <w:r>
      <w:rPr>
        <w:sz w:val="20"/>
        <w:szCs w:val="20"/>
      </w:rPr>
      <w:t>Stečajna upraviteljica</w:t>
    </w:r>
    <w:r>
      <w:rPr>
        <w:sz w:val="20"/>
        <w:szCs w:val="20"/>
      </w:rPr>
      <w:tab/>
    </w:r>
    <w:r>
      <w:rPr>
        <w:sz w:val="20"/>
        <w:szCs w:val="20"/>
      </w:rPr>
      <w:tab/>
      <w:t>Bankruptcy administrator</w:t>
    </w:r>
  </w:p>
  <w:p w:rsidRDefault="002B046D" w:rsidR="002B046D">
    <w:pPr>
      <w:tabs>
        <w:tab w:pos="1073" w:val="left"/>
        <w:tab w:pos="1128" w:val="left"/>
        <w:tab w:pos="6237" w:val="left"/>
      </w:tabs>
      <w:spacing w:lineRule="auto" w:line="240" w:after="0"/>
      <w:rPr>
        <w:sz w:val="20"/>
        <w:szCs w:val="20"/>
      </w:rPr>
    </w:pPr>
  </w:p>
  <w:p w:rsidRDefault="002B046D" w:rsidR="002B046D">
    <w:pPr>
      <w:tabs>
        <w:tab w:pos="1073" w:val="left"/>
        <w:tab w:pos="1128" w:val="left"/>
        <w:tab w:pos="6237" w:val="left"/>
      </w:tabs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46D" w:rsidR="002B046D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F32B4"/>
    <w:multiLevelType w:val="multilevel"/>
    <w:tmpl w:val="DA383882"/>
    <w:lvl w:ilvl="0">
      <w:start w:val="1"/>
      <w:numFmt w:val="bullet"/>
      <w:lvlText w:val="-"/>
      <w:lvlJc w:val="left"/>
      <w:pPr>
        <w:ind w:hanging="360" w:left="720"/>
      </w:pPr>
      <w:rPr>
        <w:u w:val="none"/>
      </w:rPr>
    </w:lvl>
    <w:lvl w:ilvl="1">
      <w:start w:val="1"/>
      <w:numFmt w:val="bullet"/>
      <w:lvlText w:val="-"/>
      <w:lvlJc w:val="left"/>
      <w:pPr>
        <w:ind w:hanging="360" w:left="1440"/>
      </w:pPr>
      <w:rPr>
        <w:u w:val="none"/>
      </w:rPr>
    </w:lvl>
    <w:lvl w:ilvl="2">
      <w:start w:val="1"/>
      <w:numFmt w:val="bullet"/>
      <w:lvlText w:val="-"/>
      <w:lvlJc w:val="left"/>
      <w:pPr>
        <w:ind w:hanging="360" w:left="2160"/>
      </w:pPr>
      <w:rPr>
        <w:u w:val="none"/>
      </w:rPr>
    </w:lvl>
    <w:lvl w:ilvl="3">
      <w:start w:val="1"/>
      <w:numFmt w:val="bullet"/>
      <w:lvlText w:val="-"/>
      <w:lvlJc w:val="left"/>
      <w:pPr>
        <w:ind w:hanging="360" w:left="2880"/>
      </w:pPr>
      <w:rPr>
        <w:u w:val="none"/>
      </w:rPr>
    </w:lvl>
    <w:lvl w:ilvl="4">
      <w:start w:val="1"/>
      <w:numFmt w:val="bullet"/>
      <w:lvlText w:val="-"/>
      <w:lvlJc w:val="left"/>
      <w:pPr>
        <w:ind w:hanging="360" w:left="3600"/>
      </w:pPr>
      <w:rPr>
        <w:u w:val="none"/>
      </w:rPr>
    </w:lvl>
    <w:lvl w:ilvl="5">
      <w:start w:val="1"/>
      <w:numFmt w:val="bullet"/>
      <w:lvlText w:val="-"/>
      <w:lvlJc w:val="left"/>
      <w:pPr>
        <w:ind w:hanging="360" w:left="4320"/>
      </w:pPr>
      <w:rPr>
        <w:u w:val="none"/>
      </w:rPr>
    </w:lvl>
    <w:lvl w:ilvl="6">
      <w:start w:val="1"/>
      <w:numFmt w:val="bullet"/>
      <w:lvlText w:val="-"/>
      <w:lvlJc w:val="left"/>
      <w:pPr>
        <w:ind w:hanging="360" w:left="5040"/>
      </w:pPr>
      <w:rPr>
        <w:u w:val="none"/>
      </w:rPr>
    </w:lvl>
    <w:lvl w:ilvl="7">
      <w:start w:val="1"/>
      <w:numFmt w:val="bullet"/>
      <w:lvlText w:val="-"/>
      <w:lvlJc w:val="left"/>
      <w:pPr>
        <w:ind w:hanging="360" w:left="5760"/>
      </w:pPr>
      <w:rPr>
        <w:u w:val="none"/>
      </w:rPr>
    </w:lvl>
    <w:lvl w:ilvl="8">
      <w:start w:val="1"/>
      <w:numFmt w:val="bullet"/>
      <w:lvlText w:val="-"/>
      <w:lvlJc w:val="left"/>
      <w:pPr>
        <w:ind w:hanging="360" w:left="6480"/>
      </w:pPr>
      <w:rPr>
        <w:u w:val="none"/>
      </w:rPr>
    </w:lvl>
  </w:abstractNum>
  <w:abstractNum w:abstractNumId="1">
    <w:nsid w:val="29B666EA"/>
    <w:multiLevelType w:val="multilevel"/>
    <w:tmpl w:val="FE324FA4"/>
    <w:lvl w:ilvl="0">
      <w:start w:val="1"/>
      <w:numFmt w:val="decimal"/>
      <w:lvlText w:val="%1."/>
      <w:lvlJc w:val="left"/>
      <w:pPr>
        <w:ind w:hanging="360" w:left="720"/>
      </w:pPr>
      <w:rPr>
        <w:u w:val="none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u w:val="none"/>
      </w:rPr>
    </w:lvl>
    <w:lvl w:ilvl="2">
      <w:start w:val="1"/>
      <w:numFmt w:val="lowerRoman"/>
      <w:lvlText w:val="%3."/>
      <w:lvlJc w:val="right"/>
      <w:pPr>
        <w:ind w:hanging="360" w:left="2160"/>
      </w:pPr>
      <w:rPr>
        <w:u w:val="none"/>
      </w:rPr>
    </w:lvl>
    <w:lvl w:ilvl="3">
      <w:start w:val="1"/>
      <w:numFmt w:val="decimal"/>
      <w:lvlText w:val="%4."/>
      <w:lvlJc w:val="left"/>
      <w:pPr>
        <w:ind w:hanging="360" w:left="2880"/>
      </w:pPr>
      <w:rPr>
        <w:u w:val="none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u w:val="none"/>
      </w:rPr>
    </w:lvl>
    <w:lvl w:ilvl="5">
      <w:start w:val="1"/>
      <w:numFmt w:val="lowerRoman"/>
      <w:lvlText w:val="%6."/>
      <w:lvlJc w:val="right"/>
      <w:pPr>
        <w:ind w:hanging="360" w:left="4320"/>
      </w:pPr>
      <w:rPr>
        <w:u w:val="none"/>
      </w:rPr>
    </w:lvl>
    <w:lvl w:ilvl="6">
      <w:start w:val="1"/>
      <w:numFmt w:val="decimal"/>
      <w:lvlText w:val="%7."/>
      <w:lvlJc w:val="left"/>
      <w:pPr>
        <w:ind w:hanging="360" w:left="5040"/>
      </w:pPr>
      <w:rPr>
        <w:u w:val="none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u w:val="none"/>
      </w:rPr>
    </w:lvl>
    <w:lvl w:ilvl="8">
      <w:start w:val="1"/>
      <w:numFmt w:val="lowerRoman"/>
      <w:lvlText w:val="%9."/>
      <w:lvlJc w:val="right"/>
      <w:pPr>
        <w:ind w:hanging="360" w:left="6480"/>
      </w:pPr>
      <w:rPr>
        <w:u w:val="none"/>
      </w:rPr>
    </w:lvl>
  </w:abstractNum>
  <w:abstractNum w:abstractNumId="2">
    <w:nsid w:val="6C681C56"/>
    <w:multiLevelType w:val="multilevel"/>
    <w:tmpl w:val="6C9408F0"/>
    <w:lvl w:ilvl="0">
      <w:start w:val="1"/>
      <w:numFmt w:val="upperRoman"/>
      <w:lvlText w:val="%1."/>
      <w:lvlJc w:val="right"/>
      <w:pPr>
        <w:ind w:hanging="360" w:left="720"/>
      </w:pPr>
      <w:rPr>
        <w:u w:val="none"/>
      </w:rPr>
    </w:lvl>
    <w:lvl w:ilvl="1">
      <w:start w:val="1"/>
      <w:numFmt w:val="upperLetter"/>
      <w:lvlText w:val="%2."/>
      <w:lvlJc w:val="left"/>
      <w:pPr>
        <w:ind w:hanging="360" w:left="1440"/>
      </w:pPr>
      <w:rPr>
        <w:u w:val="none"/>
      </w:rPr>
    </w:lvl>
    <w:lvl w:ilvl="2">
      <w:start w:val="1"/>
      <w:numFmt w:val="decimal"/>
      <w:lvlText w:val="%3."/>
      <w:lvlJc w:val="left"/>
      <w:pPr>
        <w:ind w:hanging="360" w:left="2160"/>
      </w:pPr>
      <w:rPr>
        <w:u w:val="none"/>
      </w:rPr>
    </w:lvl>
    <w:lvl w:ilvl="3">
      <w:start w:val="1"/>
      <w:numFmt w:val="lowerLetter"/>
      <w:lvlText w:val="%4)"/>
      <w:lvlJc w:val="left"/>
      <w:pPr>
        <w:ind w:hanging="360" w:left="2880"/>
      </w:pPr>
      <w:rPr>
        <w:u w:val="none"/>
      </w:rPr>
    </w:lvl>
    <w:lvl w:ilvl="4">
      <w:start w:val="1"/>
      <w:numFmt w:val="decimal"/>
      <w:lvlText w:val="(%5)"/>
      <w:lvlJc w:val="left"/>
      <w:pPr>
        <w:ind w:hanging="360" w:left="3600"/>
      </w:pPr>
      <w:rPr>
        <w:u w:val="none"/>
      </w:rPr>
    </w:lvl>
    <w:lvl w:ilvl="5">
      <w:start w:val="1"/>
      <w:numFmt w:val="lowerLetter"/>
      <w:lvlText w:val="(%6)"/>
      <w:lvlJc w:val="left"/>
      <w:pPr>
        <w:ind w:hanging="360" w:left="4320"/>
      </w:pPr>
      <w:rPr>
        <w:u w:val="none"/>
      </w:rPr>
    </w:lvl>
    <w:lvl w:ilvl="6">
      <w:start w:val="1"/>
      <w:numFmt w:val="lowerRoman"/>
      <w:lvlText w:val="(%7)"/>
      <w:lvlJc w:val="right"/>
      <w:pPr>
        <w:ind w:hanging="360" w:left="5040"/>
      </w:pPr>
      <w:rPr>
        <w:u w:val="none"/>
      </w:rPr>
    </w:lvl>
    <w:lvl w:ilvl="7">
      <w:start w:val="1"/>
      <w:numFmt w:val="lowerLetter"/>
      <w:lvlText w:val="(%8)"/>
      <w:lvlJc w:val="left"/>
      <w:pPr>
        <w:ind w:hanging="360" w:left="5760"/>
      </w:pPr>
      <w:rPr>
        <w:u w:val="none"/>
      </w:rPr>
    </w:lvl>
    <w:lvl w:ilvl="8">
      <w:start w:val="1"/>
      <w:numFmt w:val="lowerRoman"/>
      <w:lvlText w:val="(%9)"/>
      <w:lvlJc w:val="right"/>
      <w:pPr>
        <w:ind w:hanging="360" w:left="648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2B046D"/>
    <w:rsid w:val="00263F45"/>
    <w:rsid w:val="002B046D"/>
    <w:rsid w:val="003828C7"/>
    <w:rsid w:val="00D9685C"/>
    <w:rsid w:val="00E6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Calibri" w:hAnsi="Calibri" w:ascii="Calibr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</w:style>
  <w:style w:styleId="Naslov1" w:type="paragraph">
    <w:name w:val="heading 1"/>
    <w:basedOn w:val="Normal"/>
    <w:next w:val="Normal"/>
    <w:pPr>
      <w:keepNext/>
      <w:keepLines/>
      <w:spacing w:after="120" w:before="480"/>
      <w:outlineLvl w:val="0"/>
    </w:pPr>
    <w:rPr>
      <w:b/>
      <w:sz w:val="48"/>
      <w:szCs w:val="48"/>
    </w:rPr>
  </w:style>
  <w:style w:styleId="Naslov2" w:type="paragraph">
    <w:name w:val="heading 2"/>
    <w:basedOn w:val="Normal"/>
    <w:next w:val="Normal"/>
    <w:pPr>
      <w:keepNext/>
      <w:keepLines/>
      <w:spacing w:after="80" w:before="360"/>
      <w:outlineLvl w:val="1"/>
    </w:pPr>
    <w:rPr>
      <w:b/>
      <w:sz w:val="36"/>
      <w:szCs w:val="36"/>
    </w:rPr>
  </w:style>
  <w:style w:styleId="Naslov3" w:type="paragraph">
    <w:name w:val="heading 3"/>
    <w:basedOn w:val="Normal"/>
    <w:next w:val="Normal"/>
    <w:pPr>
      <w:keepNext/>
      <w:keepLines/>
      <w:spacing w:after="80" w:before="280"/>
      <w:outlineLvl w:val="2"/>
    </w:pPr>
    <w:rPr>
      <w:b/>
      <w:sz w:val="28"/>
      <w:szCs w:val="28"/>
    </w:rPr>
  </w:style>
  <w:style w:styleId="Naslov4" w:type="paragraph">
    <w:name w:val="heading 4"/>
    <w:basedOn w:val="Normal"/>
    <w:next w:val="Normal"/>
    <w:pPr>
      <w:keepNext/>
      <w:keepLines/>
      <w:spacing w:after="40" w:before="240"/>
      <w:outlineLvl w:val="3"/>
    </w:pPr>
    <w:rPr>
      <w:b/>
      <w:sz w:val="24"/>
      <w:szCs w:val="24"/>
    </w:rPr>
  </w:style>
  <w:style w:styleId="Naslov5" w:type="paragraph">
    <w:name w:val="heading 5"/>
    <w:basedOn w:val="Normal"/>
    <w:next w:val="Normal"/>
    <w:pPr>
      <w:keepNext/>
      <w:keepLines/>
      <w:spacing w:after="40" w:before="220"/>
      <w:outlineLvl w:val="4"/>
    </w:pPr>
    <w:rPr>
      <w:b/>
    </w:rPr>
  </w:style>
  <w:style w:styleId="Naslov6" w:type="paragraph">
    <w:name w:val="heading 6"/>
    <w:basedOn w:val="Normal"/>
    <w:next w:val="Normal"/>
    <w:pPr>
      <w:keepNext/>
      <w:keepLines/>
      <w:spacing w:after="40" w:before="200"/>
      <w:outlineLvl w:val="5"/>
    </w:pPr>
    <w:rPr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Naslov" w:type="paragraph">
    <w:name w:val="Title"/>
    <w:basedOn w:val="Normal"/>
    <w:next w:val="Normal"/>
    <w:pPr>
      <w:keepNext/>
      <w:keepLines/>
      <w:spacing w:after="120" w:before="480"/>
    </w:pPr>
    <w:rPr>
      <w:b/>
      <w:sz w:val="72"/>
      <w:szCs w:val="72"/>
    </w:rPr>
  </w:style>
  <w:style w:styleId="Podnaslov" w:type="paragraph">
    <w:name w:val="Subtitle"/>
    <w:basedOn w:val="Normal"/>
    <w:next w:val="Normal"/>
    <w:pPr>
      <w:keepNext/>
      <w:keepLines/>
      <w:spacing w:after="80" w:before="360"/>
    </w:pPr>
    <w:rPr>
      <w:rFonts w:cs="Georgia" w:eastAsia="Georgia" w:hAnsi="Georgia" w:ascii="Georgia"/>
      <w:i/>
      <w:color w:val="666666"/>
      <w:sz w:val="48"/>
      <w:szCs w:val="48"/>
    </w:rPr>
  </w:style>
  <w:style w:customStyle="true" w:styleId="a" w:type="table">
    <w:basedOn w:val="TableNormal"/>
    <w:tblPr>
      <w:tblStyleRowBandSize w:val="1"/>
      <w:tblStyleColBandSize w:val="1"/>
      <w:tblCellMar>
        <w:top w:type="dxa" w:w="100"/>
        <w:left w:type="dxa" w:w="100"/>
        <w:bottom w:type="dxa" w:w="100"/>
        <w:right w:type="dxa" w:w="100"/>
      </w:tblCellMar>
    </w:tblPr>
  </w:style>
  <w:style w:styleId="Tekstrezerviranogmjesta" w:type="character">
    <w:name w:val="Placeholder Text"/>
    <w:basedOn w:val="Zadanifontodlomka"/>
    <w:uiPriority w:val="99"/>
    <w:semiHidden/>
    <w:rsid w:val="00E66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7DE"/>
    <w:rPr>
      <w:rFonts w:cs="Times New Roman" w:eastAsia="Arial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7DE"/>
    <w:rPr>
      <w:rFonts w:cs="Arial" w:eastAsia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7DE"/>
    <w:rPr>
      <w:rFonts w:cs="Arial" w:eastAsia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7DE"/>
    <w:rPr>
      <w:rFonts w:cs="Arial" w:eastAsia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Calibri" w:eastAsia="Calibri" w:hAnsi="Calibr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</w:style>
  <w:style w:styleId="Naslov1" w:type="paragraph">
    <w:name w:val="heading 1"/>
    <w:basedOn w:val="Normal"/>
    <w:next w:val="Normal"/>
    <w:pPr>
      <w:keepNext/>
      <w:keepLines/>
      <w:spacing w:after="120" w:before="480"/>
      <w:outlineLvl w:val="0"/>
    </w:pPr>
    <w:rPr>
      <w:b/>
      <w:sz w:val="48"/>
      <w:szCs w:val="48"/>
    </w:rPr>
  </w:style>
  <w:style w:styleId="Naslov2" w:type="paragraph">
    <w:name w:val="heading 2"/>
    <w:basedOn w:val="Normal"/>
    <w:next w:val="Normal"/>
    <w:pPr>
      <w:keepNext/>
      <w:keepLines/>
      <w:spacing w:after="80" w:before="360"/>
      <w:outlineLvl w:val="1"/>
    </w:pPr>
    <w:rPr>
      <w:b/>
      <w:sz w:val="36"/>
      <w:szCs w:val="36"/>
    </w:rPr>
  </w:style>
  <w:style w:styleId="Naslov3" w:type="paragraph">
    <w:name w:val="heading 3"/>
    <w:basedOn w:val="Normal"/>
    <w:next w:val="Normal"/>
    <w:pPr>
      <w:keepNext/>
      <w:keepLines/>
      <w:spacing w:after="80" w:before="280"/>
      <w:outlineLvl w:val="2"/>
    </w:pPr>
    <w:rPr>
      <w:b/>
      <w:sz w:val="28"/>
      <w:szCs w:val="28"/>
    </w:rPr>
  </w:style>
  <w:style w:styleId="Naslov4" w:type="paragraph">
    <w:name w:val="heading 4"/>
    <w:basedOn w:val="Normal"/>
    <w:next w:val="Normal"/>
    <w:pPr>
      <w:keepNext/>
      <w:keepLines/>
      <w:spacing w:after="40" w:before="240"/>
      <w:outlineLvl w:val="3"/>
    </w:pPr>
    <w:rPr>
      <w:b/>
      <w:sz w:val="24"/>
      <w:szCs w:val="24"/>
    </w:rPr>
  </w:style>
  <w:style w:styleId="Naslov5" w:type="paragraph">
    <w:name w:val="heading 5"/>
    <w:basedOn w:val="Normal"/>
    <w:next w:val="Normal"/>
    <w:pPr>
      <w:keepNext/>
      <w:keepLines/>
      <w:spacing w:after="40" w:before="220"/>
      <w:outlineLvl w:val="4"/>
    </w:pPr>
    <w:rPr>
      <w:b/>
    </w:rPr>
  </w:style>
  <w:style w:styleId="Naslov6" w:type="paragraph">
    <w:name w:val="heading 6"/>
    <w:basedOn w:val="Normal"/>
    <w:next w:val="Normal"/>
    <w:pPr>
      <w:keepNext/>
      <w:keepLines/>
      <w:spacing w:after="40" w:before="200"/>
      <w:outlineLvl w:val="5"/>
    </w:pPr>
    <w:rPr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Naslov" w:type="paragraph">
    <w:name w:val="Title"/>
    <w:basedOn w:val="Normal"/>
    <w:next w:val="Normal"/>
    <w:pPr>
      <w:keepNext/>
      <w:keepLines/>
      <w:spacing w:after="120" w:before="480"/>
    </w:pPr>
    <w:rPr>
      <w:b/>
      <w:sz w:val="72"/>
      <w:szCs w:val="72"/>
    </w:rPr>
  </w:style>
  <w:style w:styleId="Podnaslov" w:type="paragraph">
    <w:name w:val="Subtitle"/>
    <w:basedOn w:val="Normal"/>
    <w:next w:val="Normal"/>
    <w:pPr>
      <w:keepNext/>
      <w:keepLines/>
      <w:spacing w:after="80" w:before="360"/>
    </w:pPr>
    <w:rPr>
      <w:rFonts w:ascii="Georgia" w:cs="Georgia" w:eastAsia="Georgia" w:hAnsi="Georgia"/>
      <w:i/>
      <w:color w:val="666666"/>
      <w:sz w:val="48"/>
      <w:szCs w:val="48"/>
    </w:rPr>
  </w:style>
  <w:style w:customStyle="1" w:styleId="a" w:type="table">
    <w:basedOn w:val="TableNormal"/>
    <w:tblPr>
      <w:tblStyleRowBandSize w:val="1"/>
      <w:tblStyleColBandSize w:val="1"/>
      <w:tblCellMar>
        <w:top w:type="dxa" w:w="100"/>
        <w:left w:type="dxa" w:w="100"/>
        <w:bottom w:type="dxa" w:w="100"/>
        <w:right w:type="dxa" w:w="100"/>
      </w:tblCellMar>
    </w:tblPr>
  </w:style>
  <w:style w:styleId="Tekstrezerviranogmjesta" w:type="character">
    <w:name w:val="Placeholder Text"/>
    <w:basedOn w:val="Zadanifontodlomka"/>
    <w:uiPriority w:val="99"/>
    <w:semiHidden/>
    <w:rsid w:val="00E66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7DE"/>
    <w:rPr>
      <w:rFonts w:ascii="Times New Roman" w:cs="Times New Roman" w:eastAsia="Arial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7DE"/>
    <w:rPr>
      <w:rFonts w:ascii="Arial" w:cs="Arial" w:eastAsia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7DE"/>
    <w:rPr>
      <w:rFonts w:ascii="Arial" w:cs="Arial" w:eastAsia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7DE"/>
    <w:rPr>
      <w:rFonts w:ascii="Arial" w:cs="Arial" w:eastAsia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1325</properties:Words>
  <properties:Characters>8223</properties:Characters>
  <properties:Lines>197</properties:Lines>
  <properties:Paragraphs>76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2019-03-11T13:51:00Z</dcterms:created>
  <dc:creator>Renata Klokočki</dc:creator>
  <cp:lastModifiedBy>Renata Klokočki</cp:lastModifiedBy>
  <dcterms:modified xmlns:xsi="http://www.w3.org/2001/XMLSchema-instance" xsi:type="dcterms:W3CDTF">2019-03-11T14:02:00Z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St-1851/2018-13 / Podnesak - Izvješće stečajnog upravitelja (Izvješće za ispitno i izvještajno ročište -LAKERKO.docx)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