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C2A85" w:rsidRDefault="00960E83" w14:paraId="543194c" w14:textId="543194c">
      <w:pPr>
        <w:jc w:val="both"/>
        <w15:collapsed w:val="false"/>
        <w:rPr>
          <w:rFonts w:ascii="Arial" w:hAnsi="Arial" w:cs="Arial"/>
          <w:sz w:val="24"/>
          <w:szCs w:val="24"/>
        </w:rPr>
      </w:pPr>
      <w:bookmarkStart w:name="_GoBack" w:id="0"/>
      <w:bookmarkEnd w:id="0"/>
      <w:r>
        <w:rPr>
          <w:rFonts w:ascii="Arial" w:hAnsi="Arial" w:cs="Arial"/>
          <w:sz w:val="24"/>
          <w:szCs w:val="24"/>
        </w:rPr>
        <w:t>Republika Hrvatska</w:t>
      </w:r>
    </w:p>
    <w:p w:rsidR="005C2A85" w:rsidRDefault="00960E83">
      <w:pPr>
        <w:jc w:val="both"/>
        <w:rPr>
          <w:rFonts w:ascii="Arial" w:hAnsi="Arial" w:cs="Arial"/>
          <w:sz w:val="24"/>
          <w:szCs w:val="24"/>
        </w:rPr>
      </w:pPr>
      <w:r>
        <w:rPr>
          <w:rFonts w:ascii="Arial" w:hAnsi="Arial" w:cs="Arial"/>
          <w:sz w:val="24"/>
          <w:szCs w:val="24"/>
        </w:rPr>
        <w:t>Trgovački sud u Zagrebu</w:t>
      </w:r>
    </w:p>
    <w:p w:rsidR="005C2A85" w:rsidRDefault="00960E83">
      <w:pPr>
        <w:jc w:val="both"/>
        <w:rPr>
          <w:rFonts w:ascii="Arial" w:hAnsi="Arial" w:cs="Arial"/>
          <w:sz w:val="24"/>
          <w:szCs w:val="24"/>
        </w:rPr>
      </w:pPr>
      <w:r>
        <w:rPr>
          <w:rFonts w:ascii="Arial" w:hAnsi="Arial" w:cs="Arial"/>
          <w:sz w:val="24"/>
          <w:szCs w:val="24"/>
        </w:rPr>
        <w:t>Zagreb, Amruševa 2/II</w:t>
      </w:r>
    </w:p>
    <w:p w:rsidR="005C2A85" w:rsidRDefault="005C2A85">
      <w:pPr>
        <w:jc w:val="both"/>
        <w:rPr>
          <w:rFonts w:ascii="Arial" w:hAnsi="Arial" w:cs="Arial"/>
          <w:sz w:val="24"/>
          <w:szCs w:val="24"/>
        </w:rPr>
      </w:pPr>
    </w:p>
    <w:p w:rsidR="005C2A85" w:rsidRDefault="00960E83">
      <w:pPr>
        <w:jc w:val="both"/>
        <w:rPr>
          <w:rFonts w:ascii="Arial" w:hAnsi="Arial" w:cs="Arial"/>
          <w:sz w:val="24"/>
          <w:szCs w:val="24"/>
        </w:rPr>
      </w:pPr>
      <w:r>
        <w:rPr>
          <w:rFonts w:ascii="Arial" w:hAnsi="Arial" w:cs="Arial"/>
          <w:sz w:val="24"/>
          <w:szCs w:val="24"/>
        </w:rPr>
        <w:t>Poslovni broj spisa:   48 St – 5271/16</w:t>
      </w:r>
    </w:p>
    <w:p w:rsidR="005C2A85" w:rsidRDefault="00960E83">
      <w:pPr>
        <w:jc w:val="both"/>
        <w:rPr>
          <w:rFonts w:ascii="Arial" w:hAnsi="Arial" w:cs="Arial"/>
          <w:sz w:val="24"/>
          <w:szCs w:val="24"/>
        </w:rPr>
      </w:pPr>
      <w:r>
        <w:rPr>
          <w:rFonts w:ascii="Arial" w:hAnsi="Arial" w:cs="Arial"/>
          <w:sz w:val="24"/>
          <w:szCs w:val="24"/>
        </w:rPr>
        <w:t>Dužnik: GRAFOPLAST - TISKARA  d.o.o., u stečaju</w:t>
      </w:r>
    </w:p>
    <w:p w:rsidR="005C2A85" w:rsidRDefault="00960E83">
      <w:pPr>
        <w:jc w:val="both"/>
        <w:rPr>
          <w:rFonts w:ascii="Arial" w:hAnsi="Arial" w:cs="Arial"/>
          <w:sz w:val="24"/>
          <w:szCs w:val="24"/>
        </w:rPr>
      </w:pPr>
      <w:r>
        <w:rPr>
          <w:rFonts w:ascii="Arial" w:hAnsi="Arial" w:cs="Arial"/>
          <w:sz w:val="24"/>
          <w:szCs w:val="24"/>
        </w:rPr>
        <w:t>OIB:  94141342464</w:t>
      </w:r>
    </w:p>
    <w:p w:rsidR="005C2A85" w:rsidRDefault="00960E83">
      <w:pPr>
        <w:jc w:val="both"/>
        <w:rPr>
          <w:rFonts w:ascii="Arial" w:hAnsi="Arial" w:cs="Arial"/>
          <w:sz w:val="24"/>
          <w:szCs w:val="24"/>
        </w:rPr>
      </w:pPr>
      <w:r>
        <w:rPr>
          <w:rFonts w:ascii="Arial" w:hAnsi="Arial" w:cs="Arial"/>
          <w:sz w:val="24"/>
          <w:szCs w:val="24"/>
        </w:rPr>
        <w:t>Adresa/sjedište:  Zagreb, Preradovićeva 21-23</w:t>
      </w:r>
    </w:p>
    <w:p w:rsidR="005C2A85" w:rsidRDefault="005C2A85">
      <w:pPr>
        <w:jc w:val="both"/>
        <w:rPr>
          <w:rFonts w:ascii="Arial" w:hAnsi="Arial" w:cs="Arial"/>
          <w:sz w:val="24"/>
          <w:szCs w:val="24"/>
        </w:rPr>
      </w:pPr>
    </w:p>
    <w:p w:rsidR="005C2A85" w:rsidRDefault="005C2A85"/>
    <w:p w:rsidR="005C2A85" w:rsidRDefault="00960E83">
      <w:pPr>
        <w:rPr>
          <w:rFonts w:ascii="Arial" w:hAnsi="Arial" w:cs="Arial"/>
        </w:rPr>
      </w:pPr>
      <w:r>
        <w:rPr>
          <w:rFonts w:ascii="Arial" w:hAnsi="Arial" w:cs="Arial"/>
        </w:rPr>
        <w:t xml:space="preserve">                                    PODNESAK STEČAJNOG UPRAVITELJA</w:t>
      </w:r>
    </w:p>
    <w:p w:rsidR="005C2A85" w:rsidRDefault="005C2A85">
      <w:pPr>
        <w:rPr>
          <w:rFonts w:ascii="Arial" w:hAnsi="Arial" w:cs="Arial"/>
        </w:rPr>
      </w:pPr>
    </w:p>
    <w:p w:rsidR="005C2A85" w:rsidRDefault="00960E83">
      <w:pPr>
        <w:jc w:val="both"/>
        <w:rPr>
          <w:rFonts w:ascii="Arial" w:hAnsi="Arial" w:cs="Arial"/>
        </w:rPr>
      </w:pPr>
      <w:r>
        <w:rPr>
          <w:rFonts w:ascii="Arial" w:hAnsi="Arial" w:cs="Arial"/>
        </w:rPr>
        <w:t>Dana 17. srpnja 2019. godine stečajnom upravitelju dostavljen je podnesak vjerovnika REPUBLIKA HRVATSKA, Ministarstvo financija, Porezna uprava, Područni ured Zagreb, OIB: 18683136487, zastupana po Županijskom državnom odvjetništvu u Zagrebu (dalje u tekstu stečajni vjerovnik) kojim se očituje na donošenje rješenja o obustavi i zaključenju postupka od 10. srpnja 2019. godine a koje je prihvatila skupština vjerovnika dana 2. srpnja 2019. godine.</w:t>
      </w:r>
    </w:p>
    <w:p w:rsidR="005C2A85" w:rsidRDefault="005C2A85">
      <w:pPr>
        <w:jc w:val="both"/>
        <w:rPr>
          <w:rFonts w:ascii="Arial" w:hAnsi="Arial" w:cs="Arial"/>
        </w:rPr>
      </w:pPr>
    </w:p>
    <w:p w:rsidR="005C2A85" w:rsidRDefault="00960E83">
      <w:pPr>
        <w:jc w:val="both"/>
        <w:rPr>
          <w:rFonts w:ascii="Arial" w:hAnsi="Arial" w:cs="Arial"/>
        </w:rPr>
      </w:pPr>
      <w:r>
        <w:rPr>
          <w:rFonts w:ascii="Arial" w:hAnsi="Arial" w:cs="Arial"/>
        </w:rPr>
        <w:t>U osnovi stečajni vjerovnik navodi slijedeće:</w:t>
      </w:r>
    </w:p>
    <w:p w:rsidR="005C2A85" w:rsidRDefault="00960E83">
      <w:pPr>
        <w:jc w:val="both"/>
        <w:rPr>
          <w:rFonts w:ascii="Arial" w:hAnsi="Arial" w:cs="Arial"/>
        </w:rPr>
      </w:pPr>
      <w:r>
        <w:rPr>
          <w:rFonts w:ascii="Arial" w:hAnsi="Arial" w:cs="Arial"/>
        </w:rPr>
        <w:t>I.   Stečajni vjerovnik navodi da je stečajni upravitelj nestručno i površno ispitao relevantne činjenice, pri čemu nije zatražio potvrde nadležnog tijela o blokadi računa dužnika na dan 30. travnja 2011. godine, a kako bi se mogle pobiti pravne radnje dužnika vezane za sklapanje Ugovora o kupoprodaji nekretnina kojem je stečajni dužnik tijekom 2011. godine otuđio nekretnine.</w:t>
      </w:r>
    </w:p>
    <w:p w:rsidR="005C2A85" w:rsidRDefault="00960E83">
      <w:pPr>
        <w:jc w:val="both"/>
        <w:rPr>
          <w:rFonts w:ascii="Arial" w:hAnsi="Arial" w:cs="Arial"/>
        </w:rPr>
      </w:pPr>
      <w:r>
        <w:rPr>
          <w:rFonts w:ascii="Arial" w:hAnsi="Arial" w:cs="Arial"/>
        </w:rPr>
        <w:t>II.   Također stečajni vjerovnik u privitku podneska dostavlja navodne dokaze da je račun dužnika bio u blokadi od 18. studenog 2010.godine – Rješenje o ovrsi pljenidbom i prijenosom novčanih sredstava ovršenika koje ima na računu kod banke – temeljem ovršne isprave .</w:t>
      </w:r>
    </w:p>
    <w:p w:rsidR="005C2A85" w:rsidRDefault="005C2A85">
      <w:pPr>
        <w:jc w:val="both"/>
        <w:rPr>
          <w:rFonts w:ascii="Arial" w:hAnsi="Arial" w:cs="Arial"/>
        </w:rPr>
      </w:pPr>
    </w:p>
    <w:p w:rsidR="005C2A85" w:rsidRDefault="00960E83">
      <w:pPr>
        <w:jc w:val="both"/>
        <w:rPr>
          <w:rFonts w:ascii="Arial" w:hAnsi="Arial" w:cs="Arial"/>
        </w:rPr>
      </w:pPr>
      <w:r>
        <w:rPr>
          <w:rFonts w:ascii="Arial" w:hAnsi="Arial" w:cs="Arial"/>
        </w:rPr>
        <w:t>Očitovanje stečajnog upravitelja</w:t>
      </w:r>
    </w:p>
    <w:p w:rsidR="005C2A85" w:rsidRDefault="00960E83">
      <w:pPr>
        <w:jc w:val="both"/>
        <w:rPr>
          <w:rFonts w:ascii="Arial" w:hAnsi="Arial" w:cs="Arial"/>
        </w:rPr>
      </w:pPr>
      <w:r>
        <w:rPr>
          <w:rFonts w:ascii="Arial" w:hAnsi="Arial" w:cs="Arial"/>
        </w:rPr>
        <w:t xml:space="preserve">I.   Stečajni upravitelj je na temelju prijedloga Financijske agencije za otvaranje stečajnog postupka u kojem se navodi da stečajni dužnik u očevidniku redoslijeda osnova za plaćanje ima evidentirane neizvršene osnove za plaćanje u neprekidnom razdoblju od 1539 dana, na dan 01. rujna 2015. godine, izračunao da to iznosi 4,2 godine blokade ili 4 godine 2 mjeseca i 19 dana. Također je stečajni upravitelj izračunao na temelju potvrde Financijske agencije od 20.rujna 2017. godine, kojim je žiro račun stečajnog dužnika bio blokiran 2280 dana na dan 12.rujna 2017. godine, što iznosi 6,2 godine blokade. </w:t>
      </w:r>
    </w:p>
    <w:p w:rsidR="005C2A85" w:rsidRDefault="00960E83">
      <w:pPr>
        <w:jc w:val="both"/>
        <w:rPr>
          <w:rFonts w:ascii="Arial" w:hAnsi="Arial" w:cs="Arial"/>
        </w:rPr>
      </w:pPr>
      <w:r>
        <w:rPr>
          <w:rFonts w:ascii="Arial" w:hAnsi="Arial" w:cs="Arial"/>
        </w:rPr>
        <w:t>Prijedlog za otvaranje stečajnog postupka i potvrda Financijske agencije se nalazi u spisu predmeta te su navedeni u rješenju o otvaranju stečajnog postupka.</w:t>
      </w:r>
    </w:p>
    <w:p w:rsidR="005C2A85" w:rsidRDefault="00960E83">
      <w:pPr>
        <w:jc w:val="both"/>
      </w:pPr>
      <w:r>
        <w:rPr>
          <w:rFonts w:ascii="Arial" w:hAnsi="Arial" w:cs="Arial"/>
        </w:rPr>
        <w:lastRenderedPageBreak/>
        <w:t xml:space="preserve">Prema gore navedenom izračunu stečajnog upravitelja, koji je dostavljen podneskom sudu 9. svibnja 2019. godine, stečajni dužnik GRAFOPLAST-TISKARA d.o.o. u stečaju, bio je u blokadi od mjeseca </w:t>
      </w:r>
      <w:r>
        <w:rPr>
          <w:rFonts w:ascii="Arial" w:hAnsi="Arial" w:cs="Arial"/>
          <w:u w:val="single"/>
        </w:rPr>
        <w:t>lipnja 2011. godine</w:t>
      </w:r>
      <w:r>
        <w:rPr>
          <w:rFonts w:ascii="Arial" w:hAnsi="Arial" w:cs="Arial"/>
        </w:rPr>
        <w:t xml:space="preserve">. Ugovori o kupoprodaji predmetnih nekretnina između GRAFOPLAST-TISKARA d.o.o. i GASTRAL 1980 d.o.o. sklopljeni su </w:t>
      </w:r>
      <w:r>
        <w:rPr>
          <w:rFonts w:ascii="Arial" w:hAnsi="Arial" w:cs="Arial"/>
          <w:u w:val="single"/>
        </w:rPr>
        <w:t>30.travnja 2011. godine</w:t>
      </w:r>
      <w:r>
        <w:rPr>
          <w:rFonts w:ascii="Arial" w:hAnsi="Arial" w:cs="Arial"/>
        </w:rPr>
        <w:t>. U navedeno vrijeme nije postojala blokada računa GRAFOPLAST-TISKARE d.o.o., niti se  moglo znati da GRAFOPLAST-TISKARI d.o.o. prijeti nesposobnost za plaćanje. Obzirom na navedeni tijek događaja, navedene poduzete pravne radnje ne mogu se smatrati pobojne ili ništetne, vezano za datum sklapanja Ugovora o kupoprodaji predmetnih nekretnina.</w:t>
      </w:r>
    </w:p>
    <w:p w:rsidR="005C2A85" w:rsidRDefault="00960E83">
      <w:pPr>
        <w:jc w:val="both"/>
      </w:pPr>
      <w:r>
        <w:rPr>
          <w:rFonts w:ascii="Arial" w:hAnsi="Arial" w:cs="Arial"/>
        </w:rPr>
        <w:t xml:space="preserve">Kao dokaz ispravnom izračunu stečajnog upravitelja prilaže se potvrda Financijske agencije (FINA) kojom se dokazuje  da je dana </w:t>
      </w:r>
      <w:r>
        <w:rPr>
          <w:rFonts w:ascii="Arial" w:hAnsi="Arial" w:cs="Arial"/>
          <w:u w:val="single"/>
        </w:rPr>
        <w:t>16. lipnja 2011. godine</w:t>
      </w:r>
      <w:r>
        <w:rPr>
          <w:rFonts w:ascii="Arial" w:hAnsi="Arial" w:cs="Arial"/>
        </w:rPr>
        <w:t xml:space="preserve"> evidentiran početak blokade stečajnog dužnika zbog nepodmirenih osnova za plaćanje evidentiranih u Očevidniku redoslijeda osnova za plaćanje.</w:t>
      </w:r>
    </w:p>
    <w:p w:rsidR="005C2A85" w:rsidRDefault="00960E83">
      <w:pPr>
        <w:jc w:val="both"/>
        <w:rPr>
          <w:rFonts w:ascii="Arial" w:hAnsi="Arial" w:cs="Arial"/>
        </w:rPr>
      </w:pPr>
      <w:r>
        <w:rPr>
          <w:rFonts w:ascii="Arial" w:hAnsi="Arial" w:cs="Arial"/>
        </w:rPr>
        <w:t>Dokaz: Potvrda FINA-e u privitku</w:t>
      </w:r>
    </w:p>
    <w:p w:rsidR="005C2A85" w:rsidRDefault="00960E83">
      <w:pPr>
        <w:jc w:val="both"/>
        <w:rPr>
          <w:rFonts w:ascii="Arial" w:hAnsi="Arial" w:cs="Arial"/>
        </w:rPr>
      </w:pPr>
      <w:r>
        <w:rPr>
          <w:rFonts w:ascii="Arial" w:hAnsi="Arial" w:cs="Arial"/>
        </w:rPr>
        <w:t>II.   Stečajni vjerovnik smatra da je stečajni dužnik bio u blokadi od dana Rješenja o ovrsi (18. studenog 2010. godine), što se ne može smatrati točnim. Protiv svakog rješenja o ovrsi na temelju vjerodostojne isprave ovršenik može izjaviti prigovor, te ne znači  da je danom izdavanja rješenja o ovrsi stečajni dužnik bio u blokadi. Jedino je ispravan i mjerodavan podatak iz potvrde Financijske agencije (FINA-e) o broju neprekidnih dana u blokadi i datum od kada se računa, što je dostavljeno kao dokaz u privitku.</w:t>
      </w:r>
    </w:p>
    <w:p w:rsidR="005C2A85" w:rsidRDefault="005C2A85">
      <w:pPr>
        <w:jc w:val="both"/>
        <w:rPr>
          <w:rFonts w:ascii="Arial" w:hAnsi="Arial" w:cs="Arial"/>
        </w:rPr>
      </w:pPr>
    </w:p>
    <w:p w:rsidR="005C2A85" w:rsidRDefault="00960E83">
      <w:pPr>
        <w:jc w:val="both"/>
        <w:rPr>
          <w:rFonts w:ascii="Arial" w:hAnsi="Arial" w:cs="Arial"/>
        </w:rPr>
      </w:pPr>
      <w:r>
        <w:rPr>
          <w:rFonts w:ascii="Arial" w:hAnsi="Arial" w:cs="Arial"/>
        </w:rPr>
        <w:t>Stečajni upravitelj predlaže sudu da na osnovu potvrde Financijske agencije (FINA-e) utvrdi da stečajni dužnik nije bio u blokadi 30. travnja 2011. godine, kada je sklopljen kupoprodajni ugovor između stečajnog dužnika i kupca GASTRAL 1980 d.o.o., kako navodi u svome očitovanju stečajni vjerovnik, kako bi se moglo priznati izlučno pravo protiv koga se podneskom očitovao stečajni vjerovnik.</w:t>
      </w:r>
    </w:p>
    <w:p w:rsidR="005C2A85" w:rsidRDefault="00960E83">
      <w:pPr>
        <w:jc w:val="both"/>
        <w:rPr>
          <w:rFonts w:ascii="Arial" w:hAnsi="Arial" w:cs="Arial"/>
        </w:rPr>
      </w:pPr>
      <w:r>
        <w:rPr>
          <w:rFonts w:ascii="Arial" w:hAnsi="Arial" w:cs="Arial"/>
        </w:rPr>
        <w:t>Također stečajni upravitelj predlaže sudu da se ne mijenja rješenje o obustavi i zaključenju postupka od 10. srpnja 2019. godine, a koje je prihvatila skupština vjerovnika dana 2. srpnja 2019. godine.</w:t>
      </w:r>
    </w:p>
    <w:p w:rsidR="005C2A85" w:rsidRDefault="005C2A85">
      <w:pPr>
        <w:jc w:val="both"/>
        <w:rPr>
          <w:rFonts w:ascii="Arial" w:hAnsi="Arial" w:cs="Arial"/>
        </w:rPr>
      </w:pPr>
    </w:p>
    <w:p w:rsidR="005C2A85" w:rsidRDefault="00960E83">
      <w:pPr>
        <w:jc w:val="both"/>
        <w:rPr>
          <w:rFonts w:ascii="Arial" w:hAnsi="Arial" w:cs="Arial"/>
        </w:rPr>
      </w:pPr>
      <w:r>
        <w:rPr>
          <w:rFonts w:ascii="Arial" w:hAnsi="Arial" w:cs="Arial"/>
        </w:rPr>
        <w:t>Zagreb, 19. srpnja 2019. godine</w:t>
      </w:r>
    </w:p>
    <w:p w:rsidR="005C2A85" w:rsidRDefault="00960E83">
      <w:pPr>
        <w:jc w:val="both"/>
        <w:rPr>
          <w:rFonts w:ascii="Arial" w:hAnsi="Arial" w:cs="Arial"/>
        </w:rPr>
      </w:pPr>
      <w:r>
        <w:rPr>
          <w:rFonts w:ascii="Arial" w:hAnsi="Arial" w:cs="Arial"/>
        </w:rPr>
        <w:t xml:space="preserve">                                                                                                        Stečajni upravitelj</w:t>
      </w:r>
    </w:p>
    <w:p w:rsidR="005C2A85" w:rsidRDefault="00960E83">
      <w:pPr>
        <w:jc w:val="both"/>
        <w:rPr>
          <w:rFonts w:ascii="Arial" w:hAnsi="Arial" w:cs="Arial"/>
        </w:rPr>
      </w:pPr>
      <w:r>
        <w:rPr>
          <w:rFonts w:ascii="Arial" w:hAnsi="Arial" w:cs="Arial"/>
        </w:rPr>
        <w:t xml:space="preserve">                                                                                                        Ivica Boltužić</w:t>
      </w:r>
    </w:p>
    <w:p w:rsidR="005C2A85" w:rsidRDefault="005C2A85">
      <w:pPr>
        <w:jc w:val="both"/>
        <w:rPr>
          <w:rFonts w:ascii="Arial" w:hAnsi="Arial" w:cs="Arial"/>
        </w:rPr>
      </w:pPr>
    </w:p>
    <w:p w:rsidR="005C2A85" w:rsidRDefault="005C2A85">
      <w:pPr>
        <w:jc w:val="both"/>
        <w:rPr>
          <w:rFonts w:ascii="Arial" w:hAnsi="Arial" w:cs="Arial"/>
        </w:rPr>
      </w:pPr>
    </w:p>
    <w:sectPr w:rsidR="005C2A85">
      <w:headerReference w:type="default" r:id="rId8"/>
      <w:footerReference w:type="default" r:id="rId9"/>
      <w:pgSz w:w="11906" w:h="16838"/>
      <w:pgMar w:top="1417" w:right="1417" w:bottom="1417" w:left="1417" w:header="708" w:footer="708"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72966" w:rsidRDefault="00960E83">
      <w:pPr>
        <w:spacing w:after="0"/>
      </w:pPr>
      <w:r>
        <w:separator/>
      </w:r>
    </w:p>
  </w:endnote>
  <w:endnote w:type="continuationSeparator" w:id="0">
    <w:p w:rsidR="00B72966" w:rsidRDefault="00960E83">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53A20" w:rsidRDefault="00960E83">
    <w:pPr>
      <w:pStyle w:val="Podnoje"/>
      <w:jc w:val="right"/>
    </w:pPr>
    <w:r>
      <w:fldChar w:fldCharType="begin"/>
    </w:r>
    <w:r>
      <w:instrText xml:space="preserve"> PAGE </w:instrText>
    </w:r>
    <w:r>
      <w:fldChar w:fldCharType="separate"/>
    </w:r>
    <w:r w:rsidR="00FC7F60">
      <w:rPr>
        <w:noProof/>
      </w:rPr>
      <w:t>1</w:t>
    </w:r>
    <w:r>
      <w:fldChar w:fldCharType="end"/>
    </w:r>
  </w:p>
  <w:p w:rsidR="00D53A20" w:rsidRDefault="00FC7F6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72966" w:rsidRDefault="00960E83">
      <w:pPr>
        <w:spacing w:after="0"/>
      </w:pPr>
      <w:r>
        <w:rPr>
          <w:color w:val="000000"/>
        </w:rPr>
        <w:separator/>
      </w:r>
    </w:p>
  </w:footnote>
  <w:footnote w:type="continuationSeparator" w:id="0">
    <w:p w:rsidR="00B72966" w:rsidRDefault="00960E83">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53A20" w:rsidRDefault="00FC7F60">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2A85"/>
    <w:rsid w:val="005C2A85"/>
    <w:rsid w:val="00960E83"/>
    <w:rsid w:val="00A752E1"/>
    <w:rsid w:val="00B72966"/>
    <w:rsid w:val="00FC7F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hr-HR" w:eastAsia="en-US" w:bidi="ar-SA"/>
      </w:rPr>
    </w:rPrDefault>
    <w:pPrDefault>
      <w:pPr>
        <w:autoSpaceDN w:val="false"/>
        <w:spacing w:after="160" w:line="251" w:lineRule="auto"/>
        <w:textAlignment w:val="baselin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pPr>
      <w:suppressAutoHyphens/>
      <w:spacing w:line="240" w:lineRule="auto"/>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spacing w:after="0"/>
    </w:pPr>
  </w:style>
  <w:style w:type="character" w:styleId="ZaglavljeChar" w:customStyle="true">
    <w:name w:val="Zaglavlje Char"/>
    <w:basedOn w:val="Zadanifontodlomka"/>
    <w:rPr>
      <w:rFonts w:ascii="Calibri" w:hAnsi="Calibri" w:eastAsia="Calibri" w:cs="Times New Roman"/>
    </w:rPr>
  </w:style>
  <w:style w:type="paragraph" w:styleId="Podnoje">
    <w:name w:val="footer"/>
    <w:basedOn w:val="Normal"/>
    <w:pPr>
      <w:tabs>
        <w:tab w:val="center" w:pos="4536"/>
        <w:tab w:val="right" w:pos="9072"/>
      </w:tabs>
      <w:spacing w:after="0"/>
    </w:pPr>
  </w:style>
  <w:style w:type="character" w:styleId="PodnojeChar" w:customStyle="true">
    <w:name w:val="Podnožje Char"/>
    <w:basedOn w:val="Zadanifontodlomka"/>
    <w:rPr>
      <w:rFonts w:ascii="Calibri" w:hAnsi="Calibri" w:eastAsia="Calibri" w:cs="Times New Roman"/>
    </w:rPr>
  </w:style>
  <w:style w:type="paragraph" w:styleId="Tekstbalonia">
    <w:name w:val="Balloon Text"/>
    <w:basedOn w:val="Normal"/>
    <w:pPr>
      <w:spacing w:after="0"/>
    </w:pPr>
    <w:rPr>
      <w:rFonts w:ascii="Segoe UI" w:hAnsi="Segoe UI" w:cs="Segoe UI"/>
      <w:sz w:val="18"/>
      <w:szCs w:val="18"/>
    </w:rPr>
  </w:style>
  <w:style w:type="character" w:styleId="TekstbaloniaChar" w:customStyle="true">
    <w:name w:val="Tekst balončića Char"/>
    <w:basedOn w:val="Zadanifontodlomka"/>
    <w:rPr>
      <w:rFonts w:ascii="Segoe UI" w:hAnsi="Segoe UI" w:cs="Segoe UI"/>
      <w:sz w:val="18"/>
      <w:szCs w:val="18"/>
    </w:rPr>
  </w:style>
  <w:style w:type="character" w:styleId="Tekstrezerviranogmjesta">
    <w:name w:val="Placeholder Text"/>
    <w:basedOn w:val="Zadanifontodlomka"/>
    <w:uiPriority w:val="99"/>
    <w:semiHidden/>
    <w:rsid w:val="00FC7F60"/>
    <w:rPr>
      <w:color w:val="808080"/>
      <w:bdr w:val="none" w:color="auto" w:sz="0" w:space="0"/>
      <w:shd w:val="clear" w:color="auto" w:fill="auto"/>
    </w:rPr>
  </w:style>
  <w:style w:type="character" w:styleId="eSPISCCParagraphDefaultFont" w:customStyle="true">
    <w:name w:val="eSPIS_CC_Paragraph Default Font"/>
    <w:basedOn w:val="Zadanifontodlomka"/>
    <w:rsid w:val="00FC7F6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C7F60"/>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C7F6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C7F60"/>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FC7F60"/>
    <w:rPr>
      <w:color w:val="808080"/>
      <w:bdr w:color="auto" w:space="0" w:sz="0" w:val="none"/>
      <w:shd w:color="auto" w:fill="auto" w:val="clear"/>
    </w:rPr>
  </w:style>
  <w:style w:customStyle="1" w:styleId="eSPISCCParagraphDefaultFont" w:type="character">
    <w:name w:val="eSPIS_CC_Paragraph Default Font"/>
    <w:basedOn w:val="Zadanifontodlomka"/>
    <w:rsid w:val="00FC7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7F60"/>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7F60"/>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7F60"/>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630</properties:Words>
  <properties:Characters>3736</properties:Characters>
  <properties:Lines>74</properties:Lines>
  <properties:Paragraphs>24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2019-07-24T07:10:00Z</dcterms:created>
  <dc:creator>Ivica Boltužić</dc:creator>
  <cp:lastModifiedBy>Vinka Mihalinčić</cp:lastModifiedBy>
  <cp:lastPrinted>2019-07-19T07:16:00Z</cp:lastPrinted>
  <dcterms:modified xmlns:xsi="http://www.w3.org/2001/XMLSchema-instance" xsi:type="dcterms:W3CDTF">2019-07-24T07:11:00Z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St-5271/2016-44 / Podnesak - Podnesak (GRAFOPLAST-TISKARA Podnesak stečajnog upravitelja.docx)</vt:lpwstr>
  </prop:property>
  <prop:property fmtid="{D5CDD505-2E9C-101B-9397-08002B2CF9AE}" pid="4" name="CC_coloring">
    <vt:bool>false</vt:bool>
  </prop:property>
  <prop:property fmtid="{D5CDD505-2E9C-101B-9397-08002B2CF9AE}" pid="5" name="BrojStranica">
    <vt:i4>2</vt:i4>
  </prop:property>
</prop:Properties>
</file>