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18ebe" w14:paraId="8418ebe" w:rsidRDefault="000B114D" w:rsidP="000B114D" w:rsidR="000B114D" w:rsidRPr="000B114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br w:clear="all" w:type="textWrapping"/>
      </w:r>
      <w:r w:rsidRPr="004A4042">
        <w:rPr>
          <w:b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REPUBLIKA HRVATSKA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TRGOVAČKI SUD SPLIT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Split, Sukoišanska 6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6"/>
          <w:szCs w:val="6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 J E Š E N J E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</w:pP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hAnsi="Times New Roman" w:ascii="Times New Roman"/>
          <w:sz w:val="24"/>
          <w:szCs w:val="24"/>
        </w:rPr>
        <w:t>Trgovački sud u Splitu, po sudskom savjetniku Jadranku Basiću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EE27FB">
        <w:rPr>
          <w:rFonts w:cs="Times New Roman" w:eastAsia="Times New Roman" w:hAnsi="Times New Roman" w:ascii="Times New Roman"/>
          <w:sz w:val="24"/>
          <w:szCs w:val="24"/>
          <w:lang w:eastAsia="hr-HR"/>
        </w:rPr>
        <w:t>PERTINAX d.o.o., Pražnica, Pražnica 26 A, OIB: 87769824426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361B37">
        <w:rPr>
          <w:rFonts w:cs="Times New Roman" w:eastAsia="Times New Roman" w:hAnsi="Times New Roman" w:ascii="Times New Roman"/>
          <w:sz w:val="24"/>
          <w:szCs w:val="24"/>
          <w:lang w:eastAsia="hr-HR"/>
        </w:rPr>
        <w:t>08. srpnja</w:t>
      </w:r>
      <w:r w:rsidR="00B850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-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skraćeni stečajni postupak nad dužnikom </w:t>
      </w:r>
      <w:r w:rsidR="00EE27FB">
        <w:rPr>
          <w:rFonts w:cs="Times New Roman" w:eastAsia="Times New Roman" w:hAnsi="Times New Roman" w:ascii="Times New Roman"/>
          <w:sz w:val="24"/>
          <w:szCs w:val="24"/>
          <w:lang w:eastAsia="hr-HR"/>
        </w:rPr>
        <w:t>PERTINAX d.o.o., Pražnica, Pražnica 26 A, OIB: 87769824426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B114D" w:rsidP="000B114D" w:rsid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 - FINANCIJSK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Regionalni centar Split, Podružnica Split, Mažuranićevo šetalište 24 b, OIB: 85821130368, podnijela je ovom sudu </w:t>
      </w:r>
      <w:r w:rsidR="00B8500A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EE27F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E27FB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EE27FB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zahtjev za provedbu skraćenog stečajnog postupka temeljem čl. 444. st. 1.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("</w:t>
      </w:r>
      <w:r w:rsidR="00254AC3">
        <w:rPr>
          <w:rFonts w:cs="Times New Roman" w:eastAsia="Times New Roman" w:hAnsi="Times New Roman" w:ascii="Times New Roman"/>
          <w:sz w:val="24"/>
          <w:szCs w:val="24"/>
          <w:lang w:eastAsia="hr-HR"/>
        </w:rPr>
        <w:t>Narodne novine" broj 77/15, dalje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SZ)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nad uvodno naznačenim dužnikom.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dan 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01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.g. dužnik je u Očevidniku redoslijeda osnova za plaćanje imao evidentirane osnove za plaćanja u iznosu od </w:t>
      </w:r>
      <w:r w:rsidR="00EE27FB">
        <w:rPr>
          <w:rFonts w:cs="Times New Roman" w:eastAsia="Times New Roman" w:hAnsi="Times New Roman" w:ascii="Times New Roman"/>
          <w:sz w:val="24"/>
          <w:szCs w:val="24"/>
          <w:lang w:eastAsia="hr-HR"/>
        </w:rPr>
        <w:t>2.031,46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u koji iznos je uračunata kamata i naknada Financijske agencije za provedbu ovrhe na novčanim sredstvima.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EE27FB">
        <w:rPr>
          <w:rFonts w:cs="Times New Roman" w:eastAsia="Times New Roman" w:hAnsi="Times New Roman" w:ascii="Times New Roman"/>
          <w:sz w:val="24"/>
          <w:szCs w:val="24"/>
          <w:lang w:eastAsia="hr-HR"/>
        </w:rPr>
        <w:t>19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.0</w:t>
      </w:r>
      <w:r w:rsidR="00CA2FAD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.2016. godine sud je objavio oglas na E-oglasnoj ploči sukladno čl. 430 SZ.</w:t>
      </w:r>
    </w:p>
    <w:p w:rsidRDefault="00391B1C" w:rsidP="00391B1C" w:rsidR="00391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91B1C" w:rsidP="00391B1C" w:rsidR="00391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 je dana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61B37">
        <w:rPr>
          <w:rFonts w:cs="Times New Roman" w:eastAsia="Times New Roman" w:hAnsi="Times New Roman" w:ascii="Times New Roman"/>
          <w:sz w:val="24"/>
          <w:szCs w:val="24"/>
          <w:lang w:eastAsia="hr-HR"/>
        </w:rPr>
        <w:t>07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61B37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dostavila sudu Potvrdu o neizvršenim osnovama za plaćanje (</w:t>
      </w:r>
      <w:r>
        <w:rPr>
          <w:rFonts w:hAnsi="Times New Roman" w:ascii="Times New Roman"/>
          <w:sz w:val="24"/>
          <w:szCs w:val="24"/>
        </w:rPr>
        <w:t xml:space="preserve">list </w:t>
      </w:r>
      <w:r w:rsidR="00B8500A">
        <w:rPr>
          <w:rFonts w:hAnsi="Times New Roman" w:ascii="Times New Roman"/>
          <w:sz w:val="24"/>
          <w:szCs w:val="24"/>
        </w:rPr>
        <w:t>1</w:t>
      </w:r>
      <w:r w:rsidR="00EE27FB">
        <w:rPr>
          <w:rFonts w:hAnsi="Times New Roman" w:ascii="Times New Roman"/>
          <w:sz w:val="24"/>
          <w:szCs w:val="24"/>
        </w:rPr>
        <w:t>2</w:t>
      </w:r>
      <w:r>
        <w:rPr>
          <w:rFonts w:hAnsi="Times New Roman" w:ascii="Times New Roman"/>
          <w:sz w:val="24"/>
          <w:szCs w:val="24"/>
        </w:rPr>
        <w:t xml:space="preserve"> spisa)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koje je razvidno da dužnik u ovom predmetu u Očevidniku redoslijeda osnova za plaćanje na dan izdavanja potvrde </w:t>
      </w:r>
      <w:r w:rsidR="00361B37">
        <w:rPr>
          <w:rFonts w:cs="Times New Roman" w:eastAsia="Times New Roman" w:hAnsi="Times New Roman" w:ascii="Times New Roman"/>
          <w:sz w:val="24"/>
          <w:szCs w:val="24"/>
          <w:lang w:eastAsia="hr-HR"/>
        </w:rPr>
        <w:t>04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.0</w:t>
      </w:r>
      <w:r w:rsidR="00361B37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.2016. g. ima evidentirane neizvršene osnove za plaćanje u neprekidnom razdoblju od 0 dana.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 taj način su prestali stečajni razlozi.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Obzirom da račun društva nije blokiran odnosno u Očevidniku redoslijeda osnova za plaćanje nema evidentiranih nepodmirenih obveza, to je evidentno da nisu ispunjene pretpostavke za provedbu skraćenog stečajnog postupka kako je to propisano čl. 428. SZ-a.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7ECC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Slijedom navedenog, 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valjalo je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obustaviti postupak radi provedbe skraćenog stečajnog postupka.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Split, </w:t>
      </w:r>
      <w:r w:rsidR="00361B37">
        <w:rPr>
          <w:rFonts w:cs="Times New Roman" w:eastAsia="Times New Roman" w:hAnsi="Times New Roman" w:ascii="Times New Roman"/>
          <w:sz w:val="24"/>
          <w:szCs w:val="24"/>
        </w:rPr>
        <w:t>08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361B37">
        <w:rPr>
          <w:rFonts w:cs="Times New Roman" w:eastAsia="Times New Roman" w:hAnsi="Times New Roman" w:ascii="Times New Roman"/>
          <w:sz w:val="24"/>
          <w:szCs w:val="24"/>
        </w:rPr>
        <w:t>srpnja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 2016.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>g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>odine</w:t>
      </w:r>
    </w:p>
    <w:p w:rsidRDefault="00391B1C" w:rsidP="000B114D" w:rsidR="00391B1C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32"/>
          <w:szCs w:val="32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   SUDSKI SAVJETNIK</w:t>
      </w:r>
    </w:p>
    <w:p w:rsidRDefault="000B114D" w:rsidP="000B114D" w:rsidR="000B114D" w:rsidRPr="00391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AD128E" w:rsidR="00AD128E" w:rsidRPr="00AD128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   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ab/>
        <w:t xml:space="preserve">   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>Jadranko Basić</w:t>
      </w:r>
    </w:p>
    <w:p w:rsidRDefault="00AD128E" w:rsidP="00AD128E" w:rsidR="00AD128E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E47ECC" w:rsidP="00AD128E" w:rsidR="00E47ECC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AD128E">
        <w:rPr>
          <w:rFonts w:cs="Times New Roman" w:hAnsi="Times New Roman" w:ascii="Times New Roman"/>
          <w:sz w:val="24"/>
          <w:szCs w:val="24"/>
        </w:rPr>
        <w:t xml:space="preserve">                         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POUKA O PRAVNOM LIJEKU: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Protiv ovog rješenja dopuštena je žalba. Žalba se može izjaviti u roku od osam dana od dostave rješenja, a dostava ovog rješenja smatra se obavljenom istekom osmog dana o</w:t>
      </w:r>
      <w:r w:rsidR="00391B1C">
        <w:rPr>
          <w:rFonts w:cs="Times New Roman" w:eastAsia="Times New Roman" w:hAnsi="Times New Roman" w:ascii="Times New Roman"/>
          <w:sz w:val="24"/>
          <w:szCs w:val="24"/>
          <w:lang w:val="en-US"/>
        </w:rPr>
        <w:t>d</w:t>
      </w: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277B57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 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DNA: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-predlagatelju - Financijskoj agenciji, RC Split</w:t>
      </w:r>
    </w:p>
    <w:p w:rsidRDefault="000B114D" w:rsidP="000B114D" w:rsid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>-dužniku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-e-Oglasna ploča suda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-spis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5E2A83" w:rsidR="005E2A83"/>
    <w:sectPr w:rsidSect="009E693F" w:rsidR="005E2A8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14D" w:rsidP="000B114D" w:rsidR="000B114D">
      <w:pPr>
        <w:spacing w:lineRule="auto" w:line="240" w:after="0"/>
      </w:pPr>
      <w:r>
        <w:separator/>
      </w:r>
    </w:p>
  </w:endnote>
  <w:end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14D" w:rsidP="000B114D" w:rsidR="000B114D">
      <w:pPr>
        <w:spacing w:lineRule="auto" w:line="240" w:after="0"/>
      </w:pPr>
      <w:r>
        <w:separator/>
      </w:r>
    </w:p>
  </w:footnote>
  <w:foot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434FCD" w:rsidP="000B114D" w:rsidR="000B114D" w:rsidRPr="000B114D">
        <w:pPr>
          <w:pStyle w:val="Zaglavlje"/>
          <w:jc w:val="right"/>
          <w:rPr>
            <w:rFonts w:hAnsi="Times New Roman" w:ascii="Times New Roman"/>
            <w:sz w:val="24"/>
            <w:szCs w:val="24"/>
            <w:lang w:val="hr-HR"/>
          </w:rPr>
        </w:pPr>
        <w:r>
          <w:t xml:space="preserve">                                </w:t>
        </w:r>
        <w:r w:rsidR="00AD128E" w:rsidRPr="00026AC2">
          <w:rPr>
            <w:rFonts w:hAnsi="Times New Roman" w:ascii="Times New Roman"/>
          </w:rPr>
          <w:fldChar w:fldCharType="begin"/>
        </w:r>
        <w:r w:rsidR="00AD128E" w:rsidRPr="00026AC2">
          <w:rPr>
            <w:rFonts w:hAnsi="Times New Roman" w:ascii="Times New Roman"/>
          </w:rPr>
          <w:instrText>PAGE   \* MERGEFORMAT</w:instrText>
        </w:r>
        <w:r w:rsidR="00AD128E" w:rsidRPr="00026AC2">
          <w:rPr>
            <w:rFonts w:hAnsi="Times New Roman" w:ascii="Times New Roman"/>
          </w:rPr>
          <w:fldChar w:fldCharType="separate"/>
        </w:r>
        <w:r w:rsidR="00802116" w:rsidRPr="00802116">
          <w:rPr>
            <w:rFonts w:hAnsi="Times New Roman" w:ascii="Times New Roman"/>
            <w:noProof/>
            <w:lang w:val="hr-HR"/>
          </w:rPr>
          <w:t>2</w:t>
        </w:r>
        <w:r w:rsidR="00AD128E" w:rsidRPr="00026AC2">
          <w:rPr>
            <w:rFonts w:hAnsi="Times New Roman" w:ascii="Times New Roman"/>
          </w:rPr>
          <w:fldChar w:fldCharType="end"/>
        </w:r>
        <w:r w:rsidR="00AD128E" w:rsidRPr="00026AC2">
          <w:rPr>
            <w:rFonts w:hAnsi="Times New Roman" w:ascii="Times New Roman"/>
          </w:rPr>
          <w:tab/>
          <w:t xml:space="preserve">              </w:t>
        </w:r>
        <w:r w:rsidR="00AD128E">
          <w:rPr>
            <w:rFonts w:hAnsi="Times New Roman" w:ascii="Times New Roman"/>
          </w:rPr>
          <w:t xml:space="preserve">                      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21. St-</w:t>
        </w:r>
        <w:r w:rsidR="00EE27FB">
          <w:rPr>
            <w:rFonts w:hAnsi="Times New Roman" w:ascii="Times New Roman"/>
            <w:sz w:val="24"/>
            <w:szCs w:val="24"/>
            <w:lang w:val="hr-HR"/>
          </w:rPr>
          <w:t>1597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/201</w:t>
        </w:r>
        <w:r w:rsidR="00EE27FB">
          <w:rPr>
            <w:rFonts w:hAnsi="Times New Roman" w:ascii="Times New Roman"/>
            <w:sz w:val="24"/>
            <w:szCs w:val="24"/>
            <w:lang w:val="hr-HR"/>
          </w:rPr>
          <w:t>5</w:t>
        </w:r>
      </w:p>
      <w:p w:rsidRDefault="00AD128E" w:rsidP="009E693F" w:rsidR="009E693F">
        <w:pPr>
          <w:pStyle w:val="Zaglavlje"/>
          <w:ind w:firstLine="4320"/>
          <w:jc w:val="center"/>
        </w:pPr>
        <w:r>
          <w:tab/>
        </w:r>
      </w:p>
    </w:sdtContent>
  </w:sdt>
  <w:p w:rsidRDefault="00802116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114D" w:rsidP="000B114D" w:rsidR="000B114D" w:rsidRPr="000B114D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0B114D">
      <w:rPr>
        <w:rFonts w:hAnsi="Times New Roman" w:ascii="Times New Roman"/>
        <w:sz w:val="24"/>
        <w:szCs w:val="24"/>
        <w:lang w:val="hr-HR"/>
      </w:rPr>
      <w:t>21. St-</w:t>
    </w:r>
    <w:r w:rsidR="00EE27FB">
      <w:rPr>
        <w:rFonts w:hAnsi="Times New Roman" w:ascii="Times New Roman"/>
        <w:sz w:val="24"/>
        <w:szCs w:val="24"/>
        <w:lang w:val="hr-HR"/>
      </w:rPr>
      <w:t>1597</w:t>
    </w:r>
    <w:r w:rsidR="00736ADD">
      <w:rPr>
        <w:rFonts w:hAnsi="Times New Roman" w:ascii="Times New Roman"/>
        <w:sz w:val="24"/>
        <w:szCs w:val="24"/>
        <w:lang w:val="hr-HR"/>
      </w:rPr>
      <w:t>/201</w:t>
    </w:r>
    <w:r w:rsidR="00EE27FB">
      <w:rPr>
        <w:rFonts w:hAnsi="Times New Roman" w:ascii="Times New Roman"/>
        <w:sz w:val="24"/>
        <w:szCs w:val="24"/>
        <w:lang w:val="hr-HR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114D"/>
    <w:rsid w:val="000B114D"/>
    <w:rsid w:val="00254AC3"/>
    <w:rsid w:val="00277B57"/>
    <w:rsid w:val="00361B37"/>
    <w:rsid w:val="00391B1C"/>
    <w:rsid w:val="00434FCD"/>
    <w:rsid w:val="005E2A83"/>
    <w:rsid w:val="00736ADD"/>
    <w:rsid w:val="007758E5"/>
    <w:rsid w:val="00802116"/>
    <w:rsid w:val="00914F05"/>
    <w:rsid w:val="00A53DA2"/>
    <w:rsid w:val="00A96238"/>
    <w:rsid w:val="00AD128E"/>
    <w:rsid w:val="00B41223"/>
    <w:rsid w:val="00B8500A"/>
    <w:rsid w:val="00CA2FAD"/>
    <w:rsid w:val="00E0463E"/>
    <w:rsid w:val="00E47ECC"/>
    <w:rsid w:val="00EE2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 Narrow" w:ascii="Arial Narrow"/>
      <w:szCs w:val="20"/>
      <w:lang w:eastAsia="hr-HR" w:val="en-AU"/>
    </w:rPr>
  </w:style>
  <w:style w:customStyle="true" w:styleId="ZaglavljeChar" w:type="character">
    <w:name w:val="Zaglavlje Char"/>
    <w:basedOn w:val="Zadanifontodlomka"/>
    <w:link w:val="Zaglavlje"/>
    <w:uiPriority w:val="99"/>
    <w:rsid w:val="000B114D"/>
    <w:rPr>
      <w:rFonts w:cs="Times New Roman" w:eastAsia="Times New Roman" w:hAnsi="Arial Narrow" w:asci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021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11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0211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0211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0211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after="0" w:line="240" w:lineRule="auto"/>
    </w:pPr>
    <w:rPr>
      <w:rFonts w:ascii="Arial Narrow" w:cs="Times New Roman" w:eastAsia="Times New Roman" w:hAnsi="Arial Narrow"/>
      <w:szCs w:val="20"/>
      <w:lang w:eastAsia="hr-HR" w:val="en-AU"/>
    </w:rPr>
  </w:style>
  <w:style w:customStyle="1" w:styleId="ZaglavljeChar" w:type="character">
    <w:name w:val="Zaglavlje Char"/>
    <w:basedOn w:val="Zadanifontodlomka"/>
    <w:link w:val="Zaglavlje"/>
    <w:uiPriority w:val="99"/>
    <w:rsid w:val="000B114D"/>
    <w:rPr>
      <w:rFonts w:ascii="Arial Narrow" w:cs="Times New Roman" w:eastAsia="Times New Roman" w:hAns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021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11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0211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0211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0211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1597</izvorni_sadrzaj>
    <derivirana_varijabla naziv="DomainObject.Predmet.Broj_1">1597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St-1597/2015</izvorni_sadrzaj>
    <derivirana_varijabla naziv="DomainObject.Predmet.OznakaBroj_1">St-1597/2015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PERTINAX d.o.o. za poslovanje nekretninama i građenje</izvorni_sadrzaj>
    <derivirana_varijabla naziv="DomainObject.Predmet.ProtustrankaFormated_1">  PERTINAX d.o.o. za poslovanje nekretninama i građenje</derivirana_varijabla>
  </DomainObject.Predmet.ProtustrankaFormated>
  <DomainObject.Predmet.ProtustrankaFormatedOIB>
    <izvorni_sadrzaj>  PERTINAX d.o.o. za poslovanje nekretninama i građenje, OIB 87769824426</izvorni_sadrzaj>
    <derivirana_varijabla naziv="DomainObject.Predmet.ProtustrankaFormatedOIB_1">  PERTINAX d.o.o. za poslovanje nekretninama i građenje, OIB 87769824426</derivirana_varijabla>
  </DomainObject.Predmet.ProtustrankaFormatedOIB>
  <DomainObject.Predmet.ProtustrankaFormatedWithAdress>
    <izvorni_sadrzaj> PERTINAX d.o.o. za poslovanje nekretninama i građenje, Pražnica 26/A, 21425 Pražnica</izvorni_sadrzaj>
    <derivirana_varijabla naziv="DomainObject.Predmet.ProtustrankaFormatedWithAdress_1"> PERTINAX d.o.o. za poslovanje nekretninama i građenje, Pražnica 26/A, 21425 Pražnica</derivirana_varijabla>
  </DomainObject.Predmet.ProtustrankaFormatedWithAdress>
  <DomainObject.Predmet.ProtustrankaFormatedWithAdressOIB>
    <izvorni_sadrzaj> PERTINAX d.o.o. za poslovanje nekretninama i građenje, OIB 87769824426, Pražnica 26/A, 21425 Pražnica</izvorni_sadrzaj>
    <derivirana_varijabla naziv="DomainObject.Predmet.ProtustrankaFormatedWithAdressOIB_1"> PERTINAX d.o.o. za poslovanje nekretninama i građenje, OIB 87769824426, Pražnica 26/A, 21425 Pražnica</derivirana_varijabla>
  </DomainObject.Predmet.ProtustrankaFormatedWithAdressOIB>
  <DomainObject.Predmet.ProtustrankaWithAdress>
    <izvorni_sadrzaj>PERTINAX d.o.o. za poslovanje nekretninama i građenje Pražnica 26/A, 21425 Pražnica</izvorni_sadrzaj>
    <derivirana_varijabla naziv="DomainObject.Predmet.ProtustrankaWithAdress_1">PERTINAX d.o.o. za poslovanje nekretninama i građenje Pražnica 26/A, 21425 Pražnica</derivirana_varijabla>
  </DomainObject.Predmet.ProtustrankaWithAdress>
  <DomainObject.Predmet.ProtustrankaWithAdressOIB>
    <izvorni_sadrzaj>PERTINAX d.o.o. za poslovanje nekretninama i građenje, OIB 87769824426, Pražnica 26/A, 21425 Pražnica</izvorni_sadrzaj>
    <derivirana_varijabla naziv="DomainObject.Predmet.ProtustrankaWithAdressOIB_1">PERTINAX d.o.o. za poslovanje nekretninama i građenje, OIB 87769824426, Pražnica 26/A, 21425 Pražnica</derivirana_varijabla>
  </DomainObject.Predmet.ProtustrankaWithAdressOIB>
  <DomainObject.Predmet.ProtustrankaNazivFormated>
    <izvorni_sadrzaj>PERTINAX d.o.o. za poslovanje nekretninama i građenje</izvorni_sadrzaj>
    <derivirana_varijabla naziv="DomainObject.Predmet.ProtustrankaNazivFormated_1">PERTINAX d.o.o. za poslovanje nekretninama i građenje</derivirana_varijabla>
  </DomainObject.Predmet.ProtustrankaNazivFormated>
  <DomainObject.Predmet.ProtustrankaNazivFormatedOIB>
    <izvorni_sadrzaj>PERTINAX d.o.o. za poslovanje nekretninama i građenje, OIB 87769824426</izvorni_sadrzaj>
    <derivirana_varijabla naziv="DomainObject.Predmet.ProtustrankaNazivFormatedOIB_1">PERTINAX d.o.o. za poslovanje nekretninama i građenje, OIB 87769824426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2031.46</izvorni_sadrzaj>
    <derivirana_varijabla naziv="DomainObject.Predmet.TrenutnaVrijednost_1">2031.46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PERTINAX d.o.o. za poslovanje nekretninama i građenje</item>
    </izvorni_sadrzaj>
    <derivirana_varijabla naziv="DomainObject.Predmet.ProtuStrankaListFormated_1">
      <item>PERTINAX d.o.o. za poslovanje nekretninama i građenje</item>
    </derivirana_varijabla>
  </DomainObject.Predmet.ProtuStrankaListFormated>
  <DomainObject.Predmet.ProtuStrankaListFormatedOIB>
    <izvorni_sadrzaj>
      <item>PERTINAX d.o.o. za poslovanje nekretninama i građenje, OIB 87769824426</item>
    </izvorni_sadrzaj>
    <derivirana_varijabla naziv="DomainObject.Predmet.ProtuStrankaListFormatedOIB_1">
      <item>PERTINAX d.o.o. za poslovanje nekretninama i građenje, OIB 87769824426</item>
    </derivirana_varijabla>
  </DomainObject.Predmet.ProtuStrankaListFormatedOIB>
  <DomainObject.Predmet.ProtuStrankaListFormatedWithAdress>
    <izvorni_sadrzaj>
      <item>PERTINAX d.o.o. za poslovanje nekretninama i građenje, Pražnica 26/A, 21425 Pražnica</item>
    </izvorni_sadrzaj>
    <derivirana_varijabla naziv="DomainObject.Predmet.ProtuStrankaListFormatedWithAdress_1">
      <item>PERTINAX d.o.o. za poslovanje nekretninama i građenje, Pražnica 26/A, 21425 Pražnica</item>
    </derivirana_varijabla>
  </DomainObject.Predmet.ProtuStrankaListFormatedWithAdress>
  <DomainObject.Predmet.ProtuStrankaListFormatedWithAdressOIB>
    <izvorni_sadrzaj>
      <item>PERTINAX d.o.o. za poslovanje nekretninama i građenje, OIB 87769824426, Pražnica 26/A, 21425 Pražnica</item>
    </izvorni_sadrzaj>
    <derivirana_varijabla naziv="DomainObject.Predmet.ProtuStrankaListFormatedWithAdressOIB_1">
      <item>PERTINAX d.o.o. za poslovanje nekretninama i građenje, OIB 87769824426, Pražnica 26/A, 21425 Pražnica</item>
    </derivirana_varijabla>
  </DomainObject.Predmet.ProtuStrankaListFormatedWithAdressOIB>
  <DomainObject.Predmet.ProtuStrankaListNazivFormated>
    <izvorni_sadrzaj>
      <item>PERTINAX d.o.o. za poslovanje nekretninama i građenje</item>
    </izvorni_sadrzaj>
    <derivirana_varijabla naziv="DomainObject.Predmet.ProtuStrankaListNazivFormated_1">
      <item>PERTINAX d.o.o. za poslovanje nekretninama i građenje</item>
    </derivirana_varijabla>
  </DomainObject.Predmet.ProtuStrankaListNazivFormated>
  <DomainObject.Predmet.ProtuStrankaListNazivFormatedOIB>
    <izvorni_sadrzaj>
      <item>PERTINAX d.o.o. za poslovanje nekretninama i građenje, OIB 87769824426</item>
    </izvorni_sadrzaj>
    <derivirana_varijabla naziv="DomainObject.Predmet.ProtuStrankaListNazivFormatedOIB_1">
      <item>PERTINAX d.o.o. za poslovanje nekretninama i građenje, OIB 87769824426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PERTINAX d.o.o. za poslovanje nekretninama i građenje</izvorni_sadrzaj>
    <derivirana_varijabla naziv="DomainObject.Predmet.ProtustrankaIDrugi_1">PERTINAX d.o.o. za poslovanje nekretninama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PERTINAX d.o.o. za poslovanje nekretninama i građenje, OIB 87769824426, Pražnica 26/A, 21425 Pražnica</izvorni_sadrzaj>
    <derivirana_varijabla naziv="DomainObject.Predmet.ProtustrankaIDrugiAdressOIB_1">PERTINAX d.o.o. za poslovanje nekretninama i građenje, OIB 87769824426, Pražnica 26/A, 21425 Pražnica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PERTINAX d.o.o. za poslovanje nekretninama i građenje</item>
      <item>FINANCIJSKA AGENCIJA, RC SPLIT</item>
    </izvorni_sadrzaj>
    <derivirana_varijabla naziv="DomainObject.Predmet.SudioniciListNaziv_1">
      <item>PERTINAX d.o.o. za poslovanje nekretninama i građenje</item>
      <item>FINANCIJSKA AGENCIJA, RC SPLIT</item>
    </derivirana_varijabla>
  </DomainObject.Predmet.SudioniciListNaziv>
  <DomainObject.Predmet.SudioniciListAdressOIB>
    <izvorni_sadrzaj>
      <item>PERTINAX d.o.o. za poslovanje nekretninama i građenje, OIB 87769824426, Pražnica 26/A,21425 Pražnica</item>
      <item>FINANCIJSKA AGENCIJA, RC SPLIT, OIB 85821130368, Mažuranićevo šetalište 24 b,21000 Split</item>
    </izvorni_sadrzaj>
    <derivirana_varijabla naziv="DomainObject.Predmet.SudioniciListAdressOIB_1">
      <item>PERTINAX d.o.o. za poslovanje nekretninama i građenje, OIB 87769824426, Pražnica 26/A,21425 Pražnica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87769824426</item>
      <item>, OIB 85821130368</item>
    </izvorni_sadrzaj>
    <derivirana_varijabla naziv="DomainObject.Predmet.SudioniciListNazivOIB_1">
      <item>, OIB 87769824426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2244</properties:Characters>
  <properties:Lines>73</properties:Lines>
  <properties:Paragraphs>24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2016-06-06T05:40:00Z</dcterms:created>
  <dc:creator>Jadranko Basić</dc:creator>
  <cp:lastModifiedBy>Jadranko Basić</cp:lastModifiedBy>
  <cp:lastPrinted>2016-07-08T06:30:00Z</cp:lastPrinted>
  <dcterms:modified xmlns:xsi="http://www.w3.org/2001/XMLSchema-instance" xsi:type="dcterms:W3CDTF">2016-07-08T06:54:00Z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