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73b2d" w14:paraId="bf73b2d" w:rsidRDefault="00AE649C" w:rsidP="00131B33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131B33" w:rsidP="00131B33" w:rsidR="00AE649C" w:rsidRPr="00B76F3C">
      <w:pPr>
        <w:pStyle w:val="SudNaziv"/>
        <w:ind w:firstLine="708" w:left="4956"/>
      </w:pPr>
      <w:r>
        <w:rPr>
          <w:lang w:eastAsia="hr-HR"/>
        </w:rPr>
        <w:t>Poslovni broj: 4 St-383/13-91</w:t>
      </w:r>
    </w:p>
    <w:p w:rsidRDefault="00EA1C6D" w:rsidP="00131B33" w:rsidR="00AE649C" w:rsidRPr="00B76F3C">
      <w:pPr>
        <w:pStyle w:val="SudSjedite"/>
      </w:pPr>
      <w:r>
        <w:tab/>
      </w:r>
    </w:p>
    <w:p w:rsidRDefault="00131B33" w:rsidP="00131B33" w:rsidR="00131B33">
      <w:pPr>
        <w:spacing w:after="0"/>
        <w:rPr>
          <w:rFonts w:cs="Times New Roman"/>
          <w:bCs/>
        </w:rPr>
      </w:pPr>
      <w:r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5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31B33" w:rsidP="00131B33" w:rsidR="00131B33">
      <w:pPr>
        <w:spacing w:after="0"/>
        <w:rPr>
          <w:rFonts w:cs="Times New Roman"/>
        </w:rPr>
      </w:pPr>
    </w:p>
    <w:p w:rsidRDefault="00131B33" w:rsidP="00131B33" w:rsidR="00131B33">
      <w:pPr>
        <w:spacing w:after="0"/>
        <w:ind w:firstLine="720"/>
        <w:rPr>
          <w:rFonts w:cs="Times New Roman"/>
          <w:b/>
        </w:rPr>
      </w:pPr>
    </w:p>
    <w:p w:rsidRDefault="00131B33" w:rsidP="00131B33" w:rsidR="00131B33">
      <w:pPr>
        <w:spacing w:after="0"/>
        <w:ind w:firstLine="720"/>
        <w:rPr>
          <w:rFonts w:cs="Times New Roman"/>
          <w:b/>
        </w:rPr>
      </w:pPr>
    </w:p>
    <w:p w:rsidRDefault="00131B33" w:rsidP="00131B33" w:rsidR="00131B33">
      <w:pPr>
        <w:spacing w:after="0"/>
        <w:rPr>
          <w:rFonts w:cs="Times New Roman"/>
        </w:rPr>
      </w:pPr>
      <w:r>
        <w:rPr>
          <w:rFonts w:cs="Times New Roman"/>
          <w:b/>
        </w:rPr>
        <w:t xml:space="preserve">       </w:t>
      </w:r>
      <w:r>
        <w:rPr>
          <w:rFonts w:cs="Times New Roman"/>
        </w:rPr>
        <w:t>REPUBLIKA HRVATSKA</w:t>
      </w:r>
    </w:p>
    <w:p w:rsidRDefault="00131B33" w:rsidP="00131B33" w:rsidR="00131B33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131B33" w:rsidP="00131B33" w:rsidR="00131B33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131B33" w:rsidP="00131B33" w:rsidR="00131B33">
      <w:pPr>
        <w:spacing w:after="0"/>
        <w:rPr>
          <w:rFonts w:cs="Times New Roman"/>
        </w:rPr>
      </w:pPr>
    </w:p>
    <w:p w:rsidRDefault="00131B33" w:rsidP="00131B33" w:rsidR="00131B33">
      <w:pPr>
        <w:spacing w:after="0"/>
        <w:jc w:val="right"/>
        <w:rPr>
          <w:rFonts w:cs="Times New Roman"/>
        </w:rPr>
      </w:pPr>
    </w:p>
    <w:p w:rsidRDefault="00131B33" w:rsidP="00131B33" w:rsidR="00131B33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131B33" w:rsidP="00131B33" w:rsidR="00131B33">
      <w:pPr>
        <w:spacing w:after="0"/>
        <w:rPr>
          <w:rFonts w:cs="Times New Roman"/>
        </w:rPr>
      </w:pPr>
    </w:p>
    <w:p w:rsidRDefault="00131B33" w:rsidP="00131B33" w:rsidR="00131B33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131B33" w:rsidP="00131B33" w:rsidR="00131B33">
      <w:pPr>
        <w:spacing w:after="0"/>
        <w:jc w:val="both"/>
        <w:rPr>
          <w:rFonts w:cs="Times New Roman"/>
        </w:rPr>
      </w:pPr>
    </w:p>
    <w:p w:rsidRDefault="00131B33" w:rsidP="00131B33" w:rsidR="00131B33">
      <w:pPr>
        <w:spacing w:after="0"/>
        <w:ind w:firstLine="708"/>
        <w:jc w:val="both"/>
        <w:rPr>
          <w:rFonts w:cs="Arial"/>
        </w:rPr>
      </w:pPr>
      <w:r>
        <w:t>Trgovački sud u Varaždinu, po stečajnom sucu Iris Hatvalić Nemec, u stečajnom postupku nad stečajnim dužnikom TRGOVAČKI CENTAR VARAŽDIN d.o.o. u stečaju, Graberje 13, OIB: 19502152156, zastupanom po stečajnom upravitelju Želimiru Uršulinu iz Ivanca</w:t>
      </w:r>
      <w:r>
        <w:rPr>
          <w:rFonts w:cs="Times New Roman"/>
        </w:rPr>
        <w:t xml:space="preserve"> te izrađene posebne tablice ispitanih tražbina, dana 28. prosinca 2016.</w:t>
      </w:r>
    </w:p>
    <w:p w:rsidRDefault="00131B33" w:rsidP="00131B33" w:rsidR="00131B33">
      <w:pPr>
        <w:spacing w:after="0"/>
        <w:jc w:val="both"/>
        <w:rPr>
          <w:rFonts w:cs="Times New Roman"/>
        </w:rPr>
      </w:pPr>
    </w:p>
    <w:p w:rsidRDefault="005E755A" w:rsidP="005E755A" w:rsidR="005E755A">
      <w:pPr>
        <w:jc w:val="center"/>
        <w:rPr>
          <w:rFonts w:cs="Times New Roman"/>
        </w:rPr>
      </w:pPr>
      <w:r>
        <w:rPr>
          <w:rFonts w:cs="Times New Roman"/>
        </w:rPr>
        <w:t>r i j e š i o     j e</w:t>
      </w:r>
    </w:p>
    <w:p w:rsidRDefault="005E755A" w:rsidP="005E755A" w:rsidR="005E755A">
      <w:pPr>
        <w:rPr>
          <w:rFonts w:cs="Times New Roman"/>
        </w:rPr>
      </w:pPr>
      <w:r>
        <w:rPr>
          <w:rFonts w:cs="Times New Roman"/>
        </w:rPr>
        <w:t xml:space="preserve"> </w:t>
      </w:r>
    </w:p>
    <w:p w:rsidRDefault="005E755A" w:rsidP="005E755A" w:rsidR="005E755A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88" w:after="0"/>
        <w:contextualSpacing/>
        <w:jc w:val="left"/>
        <w:rPr>
          <w:rFonts w:cs="Times New Roman"/>
          <w:u w:val="single"/>
        </w:rPr>
      </w:pPr>
      <w:r>
        <w:rPr>
          <w:rFonts w:cs="Times New Roman"/>
          <w:u w:val="single"/>
        </w:rPr>
        <w:t>Utvrđene tražbine viših isplatnih redova u kunama</w:t>
      </w:r>
    </w:p>
    <w:p w:rsidRDefault="005E755A" w:rsidP="005E755A" w:rsidR="005E755A">
      <w:pPr>
        <w:pStyle w:val="Odlomakpopisa"/>
        <w:spacing w:lineRule="auto" w:line="288"/>
        <w:rPr>
          <w:rFonts w:cs="Times New Roman"/>
          <w:u w:val="single"/>
        </w:rPr>
      </w:pPr>
    </w:p>
    <w:p w:rsidRDefault="005E755A" w:rsidP="005E755A" w:rsidR="005E755A">
      <w:pPr>
        <w:pStyle w:val="Odlomakpopisa"/>
        <w:spacing w:lineRule="auto" w:line="288"/>
        <w:rPr>
          <w:rFonts w:cs="Times New Roman"/>
          <w:u w:val="single"/>
        </w:rPr>
      </w:pPr>
      <w:r>
        <w:rPr>
          <w:rFonts w:cs="Times New Roman"/>
          <w:u w:val="single"/>
        </w:rPr>
        <w:t>II. VIŠI ISPLATNI RED</w:t>
      </w:r>
    </w:p>
    <w:p w:rsidRDefault="005E755A" w:rsidP="005E755A" w:rsidR="005E755A">
      <w:pPr>
        <w:pStyle w:val="Odlomakpopisa"/>
        <w:spacing w:lineRule="auto" w:line="288"/>
        <w:rPr>
          <w:rFonts w:cs="Times New Roman"/>
          <w:u w:val="single"/>
        </w:rPr>
      </w:pPr>
    </w:p>
    <w:p w:rsidRDefault="005E755A" w:rsidP="005E755A" w:rsidR="005E755A">
      <w:pPr>
        <w:pStyle w:val="Odlomakpopisa"/>
        <w:spacing w:lineRule="auto" w:line="288"/>
        <w:rPr>
          <w:rFonts w:cs="Times New Roman"/>
          <w:u w:val="single"/>
        </w:rPr>
      </w:pPr>
    </w:p>
    <w:p w:rsidRDefault="005E755A" w:rsidP="005E755A" w:rsidR="005E755A">
      <w:pPr>
        <w:pStyle w:val="Odlomakpopisa"/>
        <w:spacing w:lineRule="auto" w:line="288"/>
        <w:rPr>
          <w:rFonts w:cs="Times New Roman"/>
          <w:u w:val="single"/>
        </w:rPr>
      </w:pPr>
    </w:p>
    <w:tbl>
      <w:tblPr>
        <w:tblW w:type="dxa" w:w="9356"/>
        <w:tblInd w:type="dxa" w:w="-34"/>
        <w:tblLook w:val="04A0" w:noVBand="1" w:noHBand="0" w:lastColumn="0" w:firstColumn="1" w:lastRow="0" w:firstRow="1"/>
      </w:tblPr>
      <w:tblGrid>
        <w:gridCol w:w="474"/>
        <w:gridCol w:w="1937"/>
        <w:gridCol w:w="1559"/>
        <w:gridCol w:w="992"/>
        <w:gridCol w:w="1418"/>
        <w:gridCol w:w="992"/>
        <w:gridCol w:w="993"/>
        <w:gridCol w:w="991"/>
      </w:tblGrid>
      <w:tr w:rsidTr="005E755A" w:rsidR="005E755A">
        <w:trPr>
          <w:trHeight w:val="402"/>
        </w:trPr>
        <w:tc>
          <w:tcPr>
            <w:tcW w:type="dxa" w:w="474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  <w:noWrap/>
            <w:vAlign w:val="bottom"/>
            <w:hideMark/>
          </w:tcPr>
          <w:p w:rsidRDefault="005E755A" w:rsidR="005E755A">
            <w:pPr>
              <w:spacing w:lineRule="auto" w:line="276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Red</w:t>
            </w:r>
          </w:p>
        </w:tc>
        <w:tc>
          <w:tcPr>
            <w:tcW w:type="dxa" w:w="1937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noWrap/>
            <w:vAlign w:val="bottom"/>
            <w:hideMark/>
          </w:tcPr>
          <w:p w:rsidRDefault="005E755A" w:rsidR="005E755A">
            <w:pPr>
              <w:spacing w:lineRule="auto" w:line="276"/>
              <w:jc w:val="center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Naziv</w:t>
            </w:r>
          </w:p>
        </w:tc>
        <w:tc>
          <w:tcPr>
            <w:tcW w:type="dxa" w:w="1559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noWrap/>
            <w:vAlign w:val="center"/>
            <w:hideMark/>
          </w:tcPr>
          <w:p w:rsidRDefault="005E755A" w:rsidR="005E755A">
            <w:pPr>
              <w:spacing w:lineRule="auto" w:line="276"/>
              <w:jc w:val="center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Adresa</w:t>
            </w:r>
          </w:p>
        </w:tc>
        <w:tc>
          <w:tcPr>
            <w:tcW w:type="dxa" w:w="992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noWrap/>
            <w:vAlign w:val="center"/>
            <w:hideMark/>
          </w:tcPr>
          <w:p w:rsidRDefault="005E755A" w:rsidR="005E755A">
            <w:pPr>
              <w:spacing w:lineRule="auto" w:line="276"/>
              <w:jc w:val="center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Datum primitka</w:t>
            </w:r>
          </w:p>
        </w:tc>
        <w:tc>
          <w:tcPr>
            <w:tcW w:type="dxa" w:w="1418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noWrap/>
            <w:vAlign w:val="bottom"/>
            <w:hideMark/>
          </w:tcPr>
          <w:p w:rsidRDefault="005E755A" w:rsidR="005E755A">
            <w:pPr>
              <w:spacing w:lineRule="auto" w:line="276"/>
              <w:jc w:val="center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Osnova </w:t>
            </w:r>
          </w:p>
        </w:tc>
        <w:tc>
          <w:tcPr>
            <w:tcW w:type="dxa" w:w="992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noWrap/>
            <w:vAlign w:val="bottom"/>
            <w:hideMark/>
          </w:tcPr>
          <w:p w:rsidRDefault="005E755A" w:rsidR="005E755A">
            <w:pPr>
              <w:spacing w:lineRule="auto" w:line="276"/>
              <w:jc w:val="center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Iznos prijavljene</w:t>
            </w:r>
          </w:p>
        </w:tc>
        <w:tc>
          <w:tcPr>
            <w:tcW w:type="dxa" w:w="993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noWrap/>
            <w:vAlign w:val="bottom"/>
            <w:hideMark/>
          </w:tcPr>
          <w:p w:rsidRDefault="005E755A" w:rsidR="005E755A">
            <w:pPr>
              <w:spacing w:lineRule="auto" w:line="276"/>
              <w:jc w:val="center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Iznos osporene</w:t>
            </w:r>
          </w:p>
        </w:tc>
        <w:tc>
          <w:tcPr>
            <w:tcW w:type="dxa" w:w="991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noWrap/>
            <w:vAlign w:val="bottom"/>
            <w:hideMark/>
          </w:tcPr>
          <w:p w:rsidRDefault="005E755A" w:rsidR="005E755A">
            <w:pPr>
              <w:spacing w:lineRule="auto" w:line="276"/>
              <w:jc w:val="center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Iznos priznate</w:t>
            </w:r>
          </w:p>
        </w:tc>
      </w:tr>
      <w:tr w:rsidTr="005E755A" w:rsidR="005E755A">
        <w:trPr>
          <w:trHeight w:val="270"/>
        </w:trPr>
        <w:tc>
          <w:tcPr>
            <w:tcW w:type="dxa" w:w="474"/>
            <w:tcBorders>
              <w:top w:val="nil"/>
              <w:left w:space="0" w:sz="6" w:color="000000" w:val="double"/>
              <w:bottom w:val="nil"/>
              <w:right w:space="0" w:sz="6" w:color="000000" w:val="double"/>
            </w:tcBorders>
            <w:noWrap/>
            <w:vAlign w:val="bottom"/>
            <w:hideMark/>
          </w:tcPr>
          <w:p w:rsidRDefault="005E755A" w:rsidR="005E755A">
            <w:pPr>
              <w:spacing w:lineRule="auto" w:line="276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broj</w:t>
            </w:r>
          </w:p>
        </w:tc>
        <w:tc>
          <w:tcPr>
            <w:tcW w:type="dxa" w:w="1937"/>
            <w:tcBorders>
              <w:top w:val="nil"/>
              <w:left w:val="nil"/>
              <w:bottom w:val="nil"/>
              <w:right w:space="0" w:sz="6" w:color="000000" w:val="double"/>
            </w:tcBorders>
            <w:noWrap/>
            <w:vAlign w:val="bottom"/>
            <w:hideMark/>
          </w:tcPr>
          <w:p w:rsidRDefault="005E755A" w:rsidR="005E755A">
            <w:pPr>
              <w:spacing w:lineRule="auto" w:line="276"/>
              <w:jc w:val="center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vjerovnika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space="0" w:sz="6" w:color="000000" w:val="double"/>
            </w:tcBorders>
            <w:noWrap/>
            <w:vAlign w:val="center"/>
            <w:hideMark/>
          </w:tcPr>
          <w:p w:rsidRDefault="005E755A" w:rsidR="005E755A">
            <w:pPr>
              <w:spacing w:lineRule="auto" w:line="276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92"/>
            <w:tcBorders>
              <w:top w:val="nil"/>
              <w:left w:val="nil"/>
              <w:bottom w:val="nil"/>
              <w:right w:space="0" w:sz="6" w:color="000000" w:val="double"/>
            </w:tcBorders>
            <w:noWrap/>
            <w:vAlign w:val="center"/>
            <w:hideMark/>
          </w:tcPr>
          <w:p w:rsidRDefault="005E755A" w:rsidR="005E755A">
            <w:pPr>
              <w:spacing w:lineRule="auto" w:line="276"/>
              <w:jc w:val="center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prijave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6" w:color="000000" w:val="double"/>
            </w:tcBorders>
            <w:noWrap/>
            <w:vAlign w:val="bottom"/>
            <w:hideMark/>
          </w:tcPr>
          <w:p w:rsidRDefault="005E755A" w:rsidR="005E755A">
            <w:pPr>
              <w:spacing w:lineRule="auto" w:line="276"/>
              <w:jc w:val="center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tražbine</w:t>
            </w:r>
          </w:p>
        </w:tc>
        <w:tc>
          <w:tcPr>
            <w:tcW w:type="dxa" w:w="992"/>
            <w:tcBorders>
              <w:top w:val="nil"/>
              <w:left w:val="nil"/>
              <w:bottom w:val="nil"/>
              <w:right w:space="0" w:sz="6" w:color="000000" w:val="double"/>
            </w:tcBorders>
            <w:noWrap/>
            <w:vAlign w:val="bottom"/>
            <w:hideMark/>
          </w:tcPr>
          <w:p w:rsidRDefault="005E755A" w:rsidR="005E755A">
            <w:pPr>
              <w:spacing w:lineRule="auto" w:line="276"/>
              <w:jc w:val="center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tražbine</w:t>
            </w:r>
          </w:p>
        </w:tc>
        <w:tc>
          <w:tcPr>
            <w:tcW w:type="dxa" w:w="993"/>
            <w:tcBorders>
              <w:top w:val="nil"/>
              <w:left w:val="nil"/>
              <w:bottom w:val="nil"/>
              <w:right w:space="0" w:sz="6" w:color="000000" w:val="double"/>
            </w:tcBorders>
            <w:noWrap/>
            <w:vAlign w:val="bottom"/>
            <w:hideMark/>
          </w:tcPr>
          <w:p w:rsidRDefault="005E755A" w:rsidR="005E755A">
            <w:pPr>
              <w:spacing w:lineRule="auto" w:line="276"/>
              <w:jc w:val="center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tražbine</w:t>
            </w:r>
          </w:p>
        </w:tc>
        <w:tc>
          <w:tcPr>
            <w:tcW w:type="dxa" w:w="991"/>
            <w:tcBorders>
              <w:top w:val="nil"/>
              <w:left w:val="nil"/>
              <w:bottom w:val="nil"/>
              <w:right w:space="0" w:sz="6" w:color="000000" w:val="double"/>
            </w:tcBorders>
            <w:noWrap/>
            <w:vAlign w:val="bottom"/>
            <w:hideMark/>
          </w:tcPr>
          <w:p w:rsidRDefault="005E755A" w:rsidR="005E755A">
            <w:pPr>
              <w:spacing w:lineRule="auto" w:line="276"/>
              <w:jc w:val="center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tražbine</w:t>
            </w:r>
          </w:p>
        </w:tc>
      </w:tr>
      <w:tr w:rsidTr="005E755A" w:rsidR="005E755A">
        <w:trPr>
          <w:trHeight w:val="402"/>
        </w:trPr>
        <w:tc>
          <w:tcPr>
            <w:tcW w:type="dxa" w:w="474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  <w:noWrap/>
            <w:vAlign w:val="bottom"/>
            <w:hideMark/>
          </w:tcPr>
          <w:p w:rsidRDefault="005E755A" w:rsidR="005E755A">
            <w:pPr>
              <w:spacing w:lineRule="auto" w:line="276"/>
              <w:jc w:val="center"/>
              <w:rPr>
                <w:rFonts w:cs="Arial" w:eastAsia="Times New Roman"/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type="dxa" w:w="1937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noWrap/>
            <w:vAlign w:val="bottom"/>
            <w:hideMark/>
          </w:tcPr>
          <w:p w:rsidRDefault="005E755A" w:rsidR="005E755A">
            <w:pPr>
              <w:spacing w:lineRule="auto" w:line="276"/>
              <w:jc w:val="center"/>
              <w:rPr>
                <w:rFonts w:cs="Arial" w:eastAsia="Times New Roman"/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noWrap/>
            <w:vAlign w:val="bottom"/>
            <w:hideMark/>
          </w:tcPr>
          <w:p w:rsidRDefault="005E755A" w:rsidR="005E755A">
            <w:pPr>
              <w:spacing w:lineRule="auto" w:line="276"/>
              <w:jc w:val="center"/>
              <w:rPr>
                <w:rFonts w:cs="Arial" w:eastAsia="Times New Roman"/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type="dxa" w:w="992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noWrap/>
            <w:vAlign w:val="bottom"/>
            <w:hideMark/>
          </w:tcPr>
          <w:p w:rsidRDefault="005E755A" w:rsidR="005E755A">
            <w:pPr>
              <w:spacing w:lineRule="auto" w:line="276"/>
              <w:jc w:val="center"/>
              <w:rPr>
                <w:rFonts w:cs="Arial" w:eastAsia="Times New Roman"/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noWrap/>
            <w:vAlign w:val="bottom"/>
            <w:hideMark/>
          </w:tcPr>
          <w:p w:rsidRDefault="005E755A" w:rsidR="005E755A">
            <w:pPr>
              <w:spacing w:lineRule="auto" w:line="276"/>
              <w:jc w:val="center"/>
              <w:rPr>
                <w:rFonts w:cs="Arial" w:eastAsia="Times New Roman"/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type="dxa" w:w="992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noWrap/>
            <w:vAlign w:val="bottom"/>
            <w:hideMark/>
          </w:tcPr>
          <w:p w:rsidRDefault="005E755A" w:rsidR="005E755A">
            <w:pPr>
              <w:spacing w:lineRule="auto" w:line="276"/>
              <w:jc w:val="center"/>
              <w:rPr>
                <w:rFonts w:cs="Arial" w:eastAsia="Times New Roman"/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type="dxa" w:w="993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noWrap/>
            <w:vAlign w:val="bottom"/>
            <w:hideMark/>
          </w:tcPr>
          <w:p w:rsidRDefault="005E755A" w:rsidR="005E755A">
            <w:pPr>
              <w:spacing w:lineRule="auto" w:line="276"/>
              <w:jc w:val="center"/>
              <w:rPr>
                <w:rFonts w:cs="Arial" w:eastAsia="Times New Roman"/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type="dxa" w:w="991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noWrap/>
            <w:vAlign w:val="bottom"/>
            <w:hideMark/>
          </w:tcPr>
          <w:p w:rsidRDefault="005E755A" w:rsidR="005E755A">
            <w:pPr>
              <w:spacing w:lineRule="auto" w:line="276"/>
              <w:jc w:val="center"/>
              <w:rPr>
                <w:rFonts w:cs="Arial" w:eastAsia="Times New Roman"/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</w:tr>
      <w:tr w:rsidTr="005E755A" w:rsidR="005E755A">
        <w:trPr>
          <w:trHeight w:val="402"/>
        </w:trPr>
        <w:tc>
          <w:tcPr>
            <w:tcW w:type="dxa" w:w="474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FFFFFF" w:color="auto" w:val="clear"/>
            <w:noWrap/>
            <w:vAlign w:val="bottom"/>
            <w:hideMark/>
          </w:tcPr>
          <w:p w:rsidRDefault="005E755A" w:rsidR="005E755A">
            <w:pPr>
              <w:spacing w:lineRule="auto" w:line="276"/>
              <w:jc w:val="center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type="dxa" w:w="1937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FFFFFF" w:color="auto" w:val="clear"/>
            <w:noWrap/>
            <w:vAlign w:val="bottom"/>
            <w:hideMark/>
          </w:tcPr>
          <w:p w:rsidRDefault="005E755A" w:rsidR="005E755A">
            <w:pPr>
              <w:spacing w:lineRule="auto" w:line="276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GRAD VARAŽDIN</w:t>
            </w:r>
          </w:p>
        </w:tc>
        <w:tc>
          <w:tcPr>
            <w:tcW w:type="dxa" w:w="1559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FFFFFF" w:color="auto" w:val="clear"/>
            <w:noWrap/>
            <w:vAlign w:val="bottom"/>
            <w:hideMark/>
          </w:tcPr>
          <w:p w:rsidRDefault="005E755A" w:rsidR="005E755A">
            <w:pPr>
              <w:spacing w:lineRule="auto" w:line="276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Varaždin, Trg kralja Tomislava 1</w:t>
            </w:r>
          </w:p>
        </w:tc>
        <w:tc>
          <w:tcPr>
            <w:tcW w:type="dxa" w:w="992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FFFFFF" w:color="auto" w:val="clear"/>
            <w:noWrap/>
            <w:vAlign w:val="bottom"/>
            <w:hideMark/>
          </w:tcPr>
          <w:p w:rsidRDefault="005E755A" w:rsidR="005E755A">
            <w:pPr>
              <w:spacing w:lineRule="auto" w:line="276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28.04.14.</w:t>
            </w:r>
          </w:p>
        </w:tc>
        <w:tc>
          <w:tcPr>
            <w:tcW w:type="dxa" w:w="1418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FFFFFF" w:color="auto" w:val="clear"/>
            <w:noWrap/>
            <w:vAlign w:val="bottom"/>
            <w:hideMark/>
          </w:tcPr>
          <w:p w:rsidRDefault="005E755A" w:rsidR="005E755A">
            <w:pPr>
              <w:spacing w:lineRule="auto" w:line="276"/>
              <w:jc w:val="center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kom.naknade, kta</w:t>
            </w:r>
          </w:p>
        </w:tc>
        <w:tc>
          <w:tcPr>
            <w:tcW w:type="dxa" w:w="992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FFFFFF" w:color="auto" w:val="clear"/>
            <w:noWrap/>
            <w:vAlign w:val="bottom"/>
            <w:hideMark/>
          </w:tcPr>
          <w:p w:rsidRDefault="005E755A" w:rsidR="005E755A">
            <w:pPr>
              <w:spacing w:lineRule="auto" w:line="276"/>
              <w:jc w:val="right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63.049,49</w:t>
            </w:r>
          </w:p>
        </w:tc>
        <w:tc>
          <w:tcPr>
            <w:tcW w:type="dxa" w:w="993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FFFFFF" w:color="auto" w:val="clear"/>
            <w:noWrap/>
            <w:vAlign w:val="bottom"/>
            <w:hideMark/>
          </w:tcPr>
          <w:p w:rsidRDefault="005E755A" w:rsidR="005E755A">
            <w:pPr>
              <w:spacing w:lineRule="auto" w:line="276"/>
              <w:jc w:val="right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991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FFFFFF" w:color="auto" w:val="clear"/>
            <w:noWrap/>
            <w:vAlign w:val="bottom"/>
            <w:hideMark/>
          </w:tcPr>
          <w:p w:rsidRDefault="005E755A" w:rsidR="005E755A">
            <w:pPr>
              <w:spacing w:lineRule="auto" w:line="276"/>
              <w:jc w:val="right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63.049,49</w:t>
            </w:r>
          </w:p>
        </w:tc>
      </w:tr>
      <w:tr w:rsidTr="005E755A" w:rsidR="005E755A">
        <w:trPr>
          <w:trHeight w:val="402"/>
        </w:trPr>
        <w:tc>
          <w:tcPr>
            <w:tcW w:type="dxa" w:w="474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  <w:noWrap/>
            <w:vAlign w:val="bottom"/>
            <w:hideMark/>
          </w:tcPr>
          <w:p w:rsidRDefault="005E755A" w:rsidR="005E755A">
            <w:pPr>
              <w:spacing w:lineRule="auto" w:line="276"/>
              <w:jc w:val="center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type="dxa" w:w="1937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noWrap/>
            <w:vAlign w:val="bottom"/>
            <w:hideMark/>
          </w:tcPr>
          <w:p w:rsidRDefault="005E755A" w:rsidR="005E755A">
            <w:pPr>
              <w:spacing w:lineRule="auto" w:line="276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STIPIĆ GRUPA d.o.o.</w:t>
            </w:r>
          </w:p>
        </w:tc>
        <w:tc>
          <w:tcPr>
            <w:tcW w:type="dxa" w:w="1559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noWrap/>
            <w:vAlign w:val="bottom"/>
            <w:hideMark/>
          </w:tcPr>
          <w:p w:rsidRDefault="005E755A" w:rsidR="005E755A">
            <w:pPr>
              <w:spacing w:lineRule="auto" w:line="276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Zagreb, Ventilatorska 24</w:t>
            </w:r>
          </w:p>
        </w:tc>
        <w:tc>
          <w:tcPr>
            <w:tcW w:type="dxa" w:w="992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noWrap/>
            <w:vAlign w:val="bottom"/>
            <w:hideMark/>
          </w:tcPr>
          <w:p w:rsidRDefault="005E755A" w:rsidR="005E755A">
            <w:pPr>
              <w:spacing w:lineRule="auto" w:line="276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noWrap/>
            <w:vAlign w:val="bottom"/>
            <w:hideMark/>
          </w:tcPr>
          <w:p w:rsidRDefault="005E755A" w:rsidR="005E755A">
            <w:pPr>
              <w:spacing w:lineRule="auto" w:line="276"/>
              <w:jc w:val="center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92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noWrap/>
            <w:vAlign w:val="bottom"/>
            <w:hideMark/>
          </w:tcPr>
          <w:p w:rsidRDefault="005E755A" w:rsidR="005E755A">
            <w:pPr>
              <w:spacing w:lineRule="auto" w:line="276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93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noWrap/>
            <w:vAlign w:val="bottom"/>
            <w:hideMark/>
          </w:tcPr>
          <w:p w:rsidRDefault="005E755A" w:rsidR="005E755A">
            <w:pPr>
              <w:spacing w:lineRule="auto" w:line="276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91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FFFFFF" w:color="auto" w:val="clear"/>
            <w:noWrap/>
            <w:vAlign w:val="bottom"/>
            <w:hideMark/>
          </w:tcPr>
          <w:p w:rsidRDefault="005E755A" w:rsidR="005E755A">
            <w:pPr>
              <w:spacing w:lineRule="auto" w:line="276"/>
              <w:jc w:val="right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Tr="005E755A" w:rsidR="005E755A">
        <w:trPr>
          <w:trHeight w:val="402"/>
        </w:trPr>
        <w:tc>
          <w:tcPr>
            <w:tcW w:type="dxa" w:w="474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noWrap/>
            <w:vAlign w:val="bottom"/>
            <w:hideMark/>
          </w:tcPr>
          <w:p w:rsidRDefault="005E755A" w:rsidR="005E755A">
            <w:pPr>
              <w:spacing w:lineRule="auto" w:line="276"/>
              <w:jc w:val="center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type="dxa" w:w="1937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noWrap/>
            <w:vAlign w:val="bottom"/>
            <w:hideMark/>
          </w:tcPr>
          <w:p w:rsidRDefault="005E755A" w:rsidR="005E755A">
            <w:pPr>
              <w:spacing w:lineRule="auto" w:line="276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zastupano po ZOU J.Martinović,V.Adžić i I.Adžić (sada Konos Construction d.o.o.)</w:t>
            </w:r>
          </w:p>
        </w:tc>
        <w:tc>
          <w:tcPr>
            <w:tcW w:type="dxa" w:w="1559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noWrap/>
            <w:vAlign w:val="bottom"/>
            <w:hideMark/>
          </w:tcPr>
          <w:p w:rsidRDefault="005E755A" w:rsidR="005E755A">
            <w:pPr>
              <w:spacing w:lineRule="auto" w:line="276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Zagreb, Držićeva 6/3</w:t>
            </w:r>
          </w:p>
        </w:tc>
        <w:tc>
          <w:tcPr>
            <w:tcW w:type="dxa" w:w="992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noWrap/>
            <w:vAlign w:val="bottom"/>
            <w:hideMark/>
          </w:tcPr>
          <w:p w:rsidRDefault="005E755A" w:rsidR="005E755A">
            <w:pPr>
              <w:spacing w:lineRule="auto" w:line="276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16.05.14.</w:t>
            </w:r>
          </w:p>
        </w:tc>
        <w:tc>
          <w:tcPr>
            <w:tcW w:type="dxa" w:w="1418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noWrap/>
            <w:vAlign w:val="bottom"/>
            <w:hideMark/>
          </w:tcPr>
          <w:p w:rsidRDefault="005E755A" w:rsidR="005E755A">
            <w:pPr>
              <w:spacing w:lineRule="auto" w:line="276"/>
              <w:jc w:val="center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račun za uslugu, kta</w:t>
            </w:r>
          </w:p>
        </w:tc>
        <w:tc>
          <w:tcPr>
            <w:tcW w:type="dxa" w:w="992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noWrap/>
            <w:vAlign w:val="bottom"/>
            <w:hideMark/>
          </w:tcPr>
          <w:p w:rsidRDefault="005E755A" w:rsidR="005E755A">
            <w:pPr>
              <w:spacing w:lineRule="auto" w:line="276"/>
              <w:jc w:val="right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294.223,95</w:t>
            </w:r>
          </w:p>
        </w:tc>
        <w:tc>
          <w:tcPr>
            <w:tcW w:type="dxa" w:w="993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noWrap/>
            <w:vAlign w:val="bottom"/>
            <w:hideMark/>
          </w:tcPr>
          <w:p w:rsidRDefault="005E755A" w:rsidR="005E755A">
            <w:pPr>
              <w:spacing w:lineRule="auto" w:line="276"/>
              <w:jc w:val="right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991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noWrap/>
            <w:vAlign w:val="bottom"/>
            <w:hideMark/>
          </w:tcPr>
          <w:p w:rsidRDefault="005E755A" w:rsidR="005E755A">
            <w:pPr>
              <w:spacing w:lineRule="auto" w:line="276"/>
              <w:jc w:val="right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294.223,95</w:t>
            </w:r>
          </w:p>
        </w:tc>
      </w:tr>
      <w:tr w:rsidTr="005E755A" w:rsidR="005E755A">
        <w:trPr>
          <w:trHeight w:val="402"/>
        </w:trPr>
        <w:tc>
          <w:tcPr>
            <w:tcW w:type="dxa" w:w="474"/>
            <w:tcBorders>
              <w:top w:val="nil"/>
              <w:left w:space="0" w:sz="6" w:color="000000" w:val="double"/>
              <w:bottom w:val="nil"/>
              <w:right w:space="0" w:sz="6" w:color="000000" w:val="double"/>
            </w:tcBorders>
            <w:noWrap/>
            <w:vAlign w:val="bottom"/>
            <w:hideMark/>
          </w:tcPr>
          <w:p w:rsidRDefault="005E755A" w:rsidR="005E755A">
            <w:pPr>
              <w:spacing w:lineRule="auto" w:line="276"/>
              <w:jc w:val="center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1937"/>
            <w:tcBorders>
              <w:top w:val="nil"/>
              <w:left w:val="nil"/>
              <w:bottom w:val="nil"/>
              <w:right w:space="0" w:sz="6" w:color="000000" w:val="double"/>
            </w:tcBorders>
            <w:noWrap/>
            <w:vAlign w:val="bottom"/>
            <w:hideMark/>
          </w:tcPr>
          <w:p w:rsidRDefault="005E755A" w:rsidR="005E755A">
            <w:pPr>
              <w:spacing w:lineRule="auto" w:line="276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space="0" w:sz="6" w:color="000000" w:val="double"/>
            </w:tcBorders>
            <w:noWrap/>
            <w:vAlign w:val="bottom"/>
            <w:hideMark/>
          </w:tcPr>
          <w:p w:rsidRDefault="005E755A" w:rsidR="005E755A">
            <w:pPr>
              <w:spacing w:lineRule="auto" w:line="276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92"/>
            <w:tcBorders>
              <w:top w:val="nil"/>
              <w:left w:val="nil"/>
              <w:bottom w:val="nil"/>
              <w:right w:space="0" w:sz="6" w:color="000000" w:val="double"/>
            </w:tcBorders>
            <w:noWrap/>
            <w:vAlign w:val="bottom"/>
            <w:hideMark/>
          </w:tcPr>
          <w:p w:rsidRDefault="005E755A" w:rsidR="005E755A">
            <w:pPr>
              <w:spacing w:lineRule="auto" w:line="276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6" w:color="000000" w:val="double"/>
            </w:tcBorders>
            <w:noWrap/>
            <w:vAlign w:val="bottom"/>
            <w:hideMark/>
          </w:tcPr>
          <w:p w:rsidRDefault="005E755A" w:rsidR="005E755A">
            <w:pPr>
              <w:spacing w:lineRule="auto" w:line="276"/>
              <w:jc w:val="center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92"/>
            <w:tcBorders>
              <w:top w:val="nil"/>
              <w:left w:val="nil"/>
              <w:bottom w:val="nil"/>
              <w:right w:space="0" w:sz="6" w:color="000000" w:val="double"/>
            </w:tcBorders>
            <w:noWrap/>
            <w:vAlign w:val="bottom"/>
            <w:hideMark/>
          </w:tcPr>
          <w:p w:rsidRDefault="005E755A" w:rsidR="005E755A">
            <w:pPr>
              <w:spacing w:lineRule="auto" w:line="276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val="nil"/>
              <w:right w:space="0" w:sz="6" w:color="000000" w:val="double"/>
            </w:tcBorders>
            <w:noWrap/>
            <w:vAlign w:val="bottom"/>
            <w:hideMark/>
          </w:tcPr>
          <w:p w:rsidRDefault="005E755A" w:rsidR="005E755A">
            <w:pPr>
              <w:spacing w:lineRule="auto" w:line="276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91"/>
            <w:tcBorders>
              <w:top w:val="nil"/>
              <w:left w:val="nil"/>
              <w:bottom w:val="nil"/>
              <w:right w:space="0" w:sz="6" w:color="000000" w:val="double"/>
            </w:tcBorders>
            <w:noWrap/>
            <w:vAlign w:val="bottom"/>
            <w:hideMark/>
          </w:tcPr>
          <w:p w:rsidRDefault="005E755A" w:rsidR="005E755A">
            <w:pPr>
              <w:spacing w:lineRule="auto" w:line="276"/>
              <w:jc w:val="right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Tr="005E755A" w:rsidR="005E755A">
        <w:trPr>
          <w:trHeight w:val="402"/>
        </w:trPr>
        <w:tc>
          <w:tcPr>
            <w:tcW w:type="dxa" w:w="474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noWrap/>
            <w:vAlign w:val="bottom"/>
            <w:hideMark/>
          </w:tcPr>
          <w:p w:rsidRDefault="005E755A" w:rsidR="005E755A">
            <w:pPr>
              <w:spacing w:lineRule="auto" w:line="276"/>
              <w:jc w:val="center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1937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noWrap/>
            <w:vAlign w:val="bottom"/>
            <w:hideMark/>
          </w:tcPr>
          <w:p w:rsidRDefault="005E755A" w:rsidR="005E755A">
            <w:pPr>
              <w:spacing w:lineRule="auto" w:line="276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noWrap/>
            <w:vAlign w:val="bottom"/>
            <w:hideMark/>
          </w:tcPr>
          <w:p w:rsidRDefault="005E755A" w:rsidR="005E755A">
            <w:pPr>
              <w:spacing w:lineRule="auto" w:line="276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92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noWrap/>
            <w:vAlign w:val="bottom"/>
            <w:hideMark/>
          </w:tcPr>
          <w:p w:rsidRDefault="005E755A" w:rsidR="005E755A">
            <w:pPr>
              <w:spacing w:lineRule="auto" w:line="276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noWrap/>
            <w:vAlign w:val="bottom"/>
            <w:hideMark/>
          </w:tcPr>
          <w:p w:rsidRDefault="005E755A" w:rsidR="005E755A">
            <w:pPr>
              <w:spacing w:lineRule="auto" w:line="276"/>
              <w:jc w:val="right"/>
              <w:rPr>
                <w:rFonts w:cs="Arial" w:eastAsia="Times New Roman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UKUPNO:</w:t>
            </w:r>
          </w:p>
        </w:tc>
        <w:tc>
          <w:tcPr>
            <w:tcW w:type="dxa" w:w="992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noWrap/>
            <w:vAlign w:val="bottom"/>
            <w:hideMark/>
          </w:tcPr>
          <w:p w:rsidRDefault="005E755A" w:rsidR="005E755A">
            <w:pPr>
              <w:spacing w:lineRule="auto" w:line="276"/>
              <w:jc w:val="right"/>
              <w:rPr>
                <w:rFonts w:cs="Arial" w:eastAsia="Times New Roman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357.273,44</w:t>
            </w:r>
          </w:p>
        </w:tc>
        <w:tc>
          <w:tcPr>
            <w:tcW w:type="dxa" w:w="993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noWrap/>
            <w:vAlign w:val="bottom"/>
            <w:hideMark/>
          </w:tcPr>
          <w:p w:rsidRDefault="005E755A" w:rsidR="005E755A">
            <w:pPr>
              <w:spacing w:lineRule="auto" w:line="276"/>
              <w:jc w:val="right"/>
              <w:rPr>
                <w:rFonts w:cs="Arial" w:eastAsia="Times New Roman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type="dxa" w:w="991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noWrap/>
            <w:vAlign w:val="bottom"/>
            <w:hideMark/>
          </w:tcPr>
          <w:p w:rsidRDefault="005E755A" w:rsidR="005E755A">
            <w:pPr>
              <w:spacing w:lineRule="auto" w:line="276"/>
              <w:jc w:val="right"/>
              <w:rPr>
                <w:rFonts w:cs="Arial" w:eastAsia="Times New Roman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357.273,44</w:t>
            </w:r>
          </w:p>
        </w:tc>
      </w:tr>
    </w:tbl>
    <w:p w:rsidRDefault="005E755A" w:rsidP="005E755A" w:rsidR="005E755A">
      <w:pPr>
        <w:pStyle w:val="Odlomakpopisa"/>
        <w:spacing w:lineRule="auto" w:line="288"/>
        <w:rPr>
          <w:rFonts w:cs="Times New Roman"/>
          <w:u w:val="single"/>
        </w:rPr>
      </w:pPr>
    </w:p>
    <w:p w:rsidRDefault="005E755A" w:rsidP="005E755A" w:rsidR="005E755A">
      <w:pPr>
        <w:tabs>
          <w:tab w:pos="840" w:val="left"/>
        </w:tabs>
        <w:jc w:val="both"/>
        <w:rPr>
          <w:rFonts w:cs="Times New Roman"/>
        </w:rPr>
      </w:pPr>
    </w:p>
    <w:p w:rsidRDefault="005E755A" w:rsidP="005E755A" w:rsidR="005E755A">
      <w:pPr>
        <w:jc w:val="center"/>
        <w:rPr>
          <w:rFonts w:cs="Times New Roman"/>
        </w:rPr>
      </w:pPr>
      <w:r>
        <w:rPr>
          <w:rFonts w:cs="Times New Roman"/>
        </w:rPr>
        <w:t>Obrazloženje:</w:t>
      </w:r>
    </w:p>
    <w:p w:rsidRDefault="005E755A" w:rsidP="005E755A" w:rsidR="005E755A">
      <w:pPr>
        <w:jc w:val="center"/>
        <w:rPr>
          <w:rFonts w:cs="Times New Roman"/>
        </w:rPr>
      </w:pPr>
    </w:p>
    <w:p w:rsidRDefault="005E755A" w:rsidP="005E755A" w:rsidR="005E755A">
      <w:pPr>
        <w:ind w:firstLine="708"/>
        <w:jc w:val="both"/>
        <w:rPr>
          <w:rFonts w:cs="Times New Roman"/>
          <w:color w:val="000000"/>
        </w:rPr>
      </w:pPr>
      <w:r>
        <w:rPr>
          <w:rFonts w:cs="Times New Roman"/>
        </w:rPr>
        <w:t xml:space="preserve">Rješenjem ovoga suda </w:t>
      </w:r>
      <w:r>
        <w:rPr>
          <w:rFonts w:cs="Times New Roman"/>
          <w:color w:themeColor="text1" w:val="000000"/>
        </w:rPr>
        <w:t xml:space="preserve">poslovni broj St-383/13-13 od </w:t>
      </w:r>
      <w:r>
        <w:rPr>
          <w:rFonts w:cs="Times New Roman"/>
        </w:rPr>
        <w:t>10. veljače 2014</w:t>
      </w:r>
      <w:r>
        <w:rPr>
          <w:rFonts w:cs="Times New Roman"/>
          <w:color w:themeColor="text1" w:val="000000"/>
        </w:rPr>
        <w:t xml:space="preserve">. </w:t>
      </w:r>
      <w:r>
        <w:rPr>
          <w:rFonts w:cs="Times New Roman"/>
        </w:rPr>
        <w:t xml:space="preserve">otvoren je stečajni postupak nad dužnikom </w:t>
      </w:r>
      <w:r>
        <w:t>TRGOVAČKI CENTAR VARAŽDIN d.o.o. u stečaju, Graberje 13, OIB: 19502152156</w:t>
      </w:r>
      <w:r>
        <w:rPr>
          <w:rFonts w:cs="Times New Roman"/>
        </w:rPr>
        <w:t xml:space="preserve"> u 12,00 sati.</w:t>
      </w:r>
    </w:p>
    <w:p w:rsidRDefault="005E755A" w:rsidP="005E755A" w:rsidR="005E755A">
      <w:pPr>
        <w:jc w:val="both"/>
        <w:rPr>
          <w:rFonts w:cs="Times New Roman"/>
        </w:rPr>
      </w:pPr>
    </w:p>
    <w:p w:rsidRDefault="005E755A" w:rsidP="005E755A" w:rsidR="005E755A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 posebnom ispitnom ročištu održanom </w:t>
      </w:r>
      <w:r>
        <w:t xml:space="preserve">19. prosinca </w:t>
      </w:r>
      <w:r>
        <w:rPr>
          <w:rFonts w:cs="Times New Roman"/>
        </w:rPr>
        <w:t>2016. ispitane su tražbine naknadno prijavljene u roku iz čl. 176. Stečajnog Zakona.</w:t>
      </w:r>
    </w:p>
    <w:p w:rsidRDefault="005E755A" w:rsidP="005E755A" w:rsidR="005E755A">
      <w:pPr>
        <w:ind w:firstLine="708"/>
        <w:jc w:val="both"/>
        <w:rPr>
          <w:rFonts w:cs="Times New Roman"/>
        </w:rPr>
      </w:pPr>
    </w:p>
    <w:p w:rsidRDefault="005E755A" w:rsidP="005E755A" w:rsidR="005E755A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 II. višem isplatnom redu prijavljene su tražbine u iznosu od </w:t>
      </w:r>
      <w:r>
        <w:rPr>
          <w:bCs/>
        </w:rPr>
        <w:t xml:space="preserve">357.273,44 </w:t>
      </w:r>
      <w:r>
        <w:rPr>
          <w:rFonts w:cs="Times New Roman"/>
        </w:rPr>
        <w:t xml:space="preserve">kn, od čega je priznat cjelokupni iznos od </w:t>
      </w:r>
      <w:r>
        <w:rPr>
          <w:bCs/>
        </w:rPr>
        <w:t xml:space="preserve">357.273,44 </w:t>
      </w:r>
      <w:r>
        <w:rPr>
          <w:rFonts w:cs="Times New Roman"/>
        </w:rPr>
        <w:t xml:space="preserve">kn. </w:t>
      </w:r>
    </w:p>
    <w:p w:rsidRDefault="005E755A" w:rsidP="005E755A" w:rsidR="005E755A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5E755A" w:rsidP="005E755A" w:rsidR="005E755A">
      <w:pPr>
        <w:rPr>
          <w:rFonts w:cs="Times New Roman"/>
        </w:rPr>
      </w:pPr>
      <w:r>
        <w:rPr>
          <w:rFonts w:cs="Times New Roman"/>
        </w:rPr>
        <w:tab/>
        <w:t xml:space="preserve">Stoga je na temelju odredbe čl. 177. i  </w:t>
      </w:r>
      <w:smartTag w:element="metricconverter" w:uri="urn:schemas-microsoft-com:office:smarttags">
        <w:smartTagPr>
          <w:attr w:val="178. st" w:name="ProductID"/>
        </w:smartTagPr>
        <w:r>
          <w:rPr>
            <w:rFonts w:cs="Times New Roman"/>
          </w:rPr>
          <w:t>178. st</w:t>
        </w:r>
      </w:smartTag>
      <w:r>
        <w:rPr>
          <w:rFonts w:cs="Times New Roman"/>
        </w:rPr>
        <w:t>. 6. Stečajnog zakona (Narodne novine br. 44/96, 29/99, 129/00, 123/03, 197/03, 187/04, 82/06, 116/10, 25/2012, 133/12 i 45/13 dalje skraćeno: SZ-a) doneseno rješenje o utvrđenim i osporenim tražbinama  i odlučeno kao u izreci toga rješenja.</w:t>
      </w:r>
    </w:p>
    <w:p w:rsidRDefault="005E755A" w:rsidP="005E755A" w:rsidR="005E755A">
      <w:pPr>
        <w:jc w:val="both"/>
        <w:rPr>
          <w:rFonts w:cs="Times New Roman"/>
        </w:rPr>
      </w:pPr>
    </w:p>
    <w:p w:rsidRDefault="005E755A" w:rsidP="005E755A" w:rsidR="005E755A">
      <w:pPr>
        <w:jc w:val="both"/>
        <w:rPr>
          <w:rFonts w:cs="Times New Roman"/>
        </w:rPr>
      </w:pPr>
    </w:p>
    <w:p w:rsidRDefault="005E755A" w:rsidP="005E755A" w:rsidR="005E755A">
      <w:pPr>
        <w:jc w:val="center"/>
        <w:rPr>
          <w:rFonts w:cs="Times New Roman"/>
        </w:rPr>
      </w:pPr>
      <w:r>
        <w:rPr>
          <w:rFonts w:cs="Times New Roman"/>
        </w:rPr>
        <w:t>U Varaždinu, 28. prosinca 2016.</w:t>
      </w:r>
    </w:p>
    <w:p w:rsidRDefault="005E755A" w:rsidP="005E755A" w:rsidR="005E755A">
      <w:pPr>
        <w:rPr>
          <w:rFonts w:cs="Times New Roman"/>
        </w:rPr>
      </w:pPr>
    </w:p>
    <w:p w:rsidRDefault="005E755A" w:rsidP="005E755A" w:rsidR="005E755A">
      <w:pPr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SUDAC:</w:t>
      </w:r>
    </w:p>
    <w:p w:rsidRDefault="005E755A" w:rsidP="005E755A" w:rsidR="005E755A">
      <w:pPr>
        <w:rPr>
          <w:rFonts w:cs="Times New Roman"/>
        </w:rPr>
      </w:pPr>
    </w:p>
    <w:p w:rsidRDefault="005E755A" w:rsidP="005E755A" w:rsidR="005E755A">
      <w:pPr>
        <w:ind w:firstLine="708" w:left="4956"/>
        <w:rPr>
          <w:rFonts w:cs="Times New Roman"/>
        </w:rPr>
      </w:pPr>
      <w:r>
        <w:rPr>
          <w:rFonts w:cs="Times New Roman"/>
        </w:rPr>
        <w:t>Iris Hatvalić Nemec, v.r.</w:t>
      </w:r>
    </w:p>
    <w:p w:rsidRDefault="005E755A" w:rsidP="005E755A" w:rsidR="005E755A">
      <w:pPr>
        <w:ind w:firstLine="708" w:left="4956"/>
        <w:rPr>
          <w:rFonts w:cs="Times New Roman"/>
        </w:rPr>
      </w:pPr>
    </w:p>
    <w:p w:rsidRDefault="005E755A" w:rsidP="005E755A" w:rsidR="005E755A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Za točnost otpravka-ovlašteni službenik: </w:t>
      </w:r>
    </w:p>
    <w:p w:rsidRDefault="005E755A" w:rsidP="005E755A" w:rsidR="005E755A">
      <w:pPr>
        <w:rPr>
          <w:rFonts w:cs="Times New Roman"/>
        </w:rPr>
      </w:pPr>
    </w:p>
    <w:p w:rsidRDefault="005E755A" w:rsidP="005E755A" w:rsidR="005E755A">
      <w:pPr>
        <w:rPr>
          <w:rFonts w:cs="Times New Roman"/>
        </w:rPr>
      </w:pPr>
    </w:p>
    <w:p w:rsidRDefault="005E755A" w:rsidP="005E755A" w:rsidR="005E755A">
      <w:pPr>
        <w:rPr>
          <w:rFonts w:cs="Times New Roman"/>
          <w:u w:val="single"/>
        </w:rPr>
      </w:pPr>
      <w:r>
        <w:rPr>
          <w:rFonts w:cs="Times New Roman"/>
          <w:u w:val="single"/>
        </w:rPr>
        <w:t>Pouka o pravnom lijeku:</w:t>
      </w:r>
    </w:p>
    <w:p w:rsidRDefault="005E755A" w:rsidP="005E755A" w:rsidR="005E755A">
      <w:pPr>
        <w:ind w:firstLine="708"/>
        <w:rPr>
          <w:rFonts w:cs="Times New Roman"/>
        </w:rPr>
      </w:pPr>
      <w:r>
        <w:rPr>
          <w:rFonts w:cs="Times New Roman"/>
        </w:rPr>
        <w:t>Protiv ovog rješenja pravo na žalbu ima stečajni upravitelj i svaki vjerovnik u dijelu koji se tiče njegove prijavljene tražbine kao i tražbine koja je osporena.</w:t>
      </w:r>
    </w:p>
    <w:p w:rsidRDefault="005E755A" w:rsidP="005E755A" w:rsidR="005E755A">
      <w:pPr>
        <w:ind w:firstLine="708"/>
        <w:rPr>
          <w:rFonts w:cs="Times New Roman"/>
        </w:rPr>
      </w:pPr>
      <w:r>
        <w:rPr>
          <w:rFonts w:cs="Times New Roman"/>
        </w:rPr>
        <w:t xml:space="preserve">Rok za žalbu iznosi osam dana računajući od dana dostave rješenja odnosno izvatka iz rješenja. </w:t>
      </w:r>
    </w:p>
    <w:p w:rsidRDefault="005E755A" w:rsidP="005E755A" w:rsidR="005E755A">
      <w:pPr>
        <w:ind w:firstLine="708"/>
        <w:rPr>
          <w:rFonts w:cs="Times New Roman"/>
        </w:rPr>
      </w:pPr>
      <w:r>
        <w:rPr>
          <w:rFonts w:cs="Times New Roman"/>
        </w:rPr>
        <w:t>Žalba se podnosi preporučeno poštom, ili se predaje neposredno ovome sudu u dva primjerka, a o žalbu odlučuje Visoki trgovački sud RH Zagreb.</w:t>
      </w:r>
    </w:p>
    <w:p w:rsidRDefault="005E755A" w:rsidP="005E755A" w:rsidR="005E755A">
      <w:pPr>
        <w:tabs>
          <w:tab w:pos="840" w:val="left"/>
        </w:tabs>
        <w:jc w:val="both"/>
        <w:rPr>
          <w:rFonts w:cs="Times New Roman"/>
        </w:rPr>
      </w:pPr>
      <w:r>
        <w:rPr>
          <w:rFonts w:cs="Times New Roman"/>
        </w:rPr>
        <w:tab/>
        <w:t>Žalba izjavljena protiv rješenja o upućivanju u parnicu bez utjecaja je na rok za pokretanje parnice, iz čl. 178. st. 6. Stečajnog zakona.</w:t>
      </w:r>
    </w:p>
    <w:p w:rsidRDefault="005E755A" w:rsidP="005E755A" w:rsidR="005E755A">
      <w:pPr>
        <w:ind w:left="708"/>
        <w:rPr>
          <w:rFonts w:cs="Times New Roman"/>
        </w:rPr>
      </w:pPr>
    </w:p>
    <w:p w:rsidRDefault="005E755A" w:rsidP="005E755A" w:rsidR="005E755A">
      <w:pPr>
        <w:ind w:left="708"/>
        <w:rPr>
          <w:rFonts w:cs="Times New Roman"/>
        </w:rPr>
      </w:pPr>
    </w:p>
    <w:p w:rsidRDefault="005E755A" w:rsidP="005E755A" w:rsidR="005E755A">
      <w:pPr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5E755A" w:rsidP="005E755A" w:rsidR="005E755A">
      <w:pPr>
        <w:pStyle w:val="Odlomakpopisa"/>
        <w:widowControl w:val="false"/>
        <w:numPr>
          <w:ilvl w:val="0"/>
          <w:numId w:val="48"/>
        </w:numPr>
        <w:tabs>
          <w:tab w:pos="851" w:val="clear"/>
        </w:tabs>
        <w:snapToGrid w:val="false"/>
        <w:spacing w:after="0"/>
        <w:contextualSpacing/>
        <w:rPr>
          <w:rFonts w:cs="Arial"/>
        </w:rPr>
      </w:pPr>
      <w:r>
        <w:rPr>
          <w:rFonts w:cs="Times New Roman"/>
        </w:rPr>
        <w:t xml:space="preserve">Stečajni upravitelj, </w:t>
      </w:r>
      <w:r>
        <w:t>Želimir Uršulin, Trg hrvatskih ivanovaca 9, Ivanec</w:t>
      </w:r>
    </w:p>
    <w:p w:rsidRDefault="005E755A" w:rsidP="005E755A" w:rsidR="005E755A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Stečajna oglasna ploča suda</w:t>
      </w:r>
    </w:p>
    <w:p w:rsidRDefault="00DA0242" w:rsidP="005E755A" w:rsidR="00DA0242">
      <w:pPr>
        <w:spacing w:after="0"/>
        <w:jc w:val="center"/>
      </w:pPr>
    </w:p>
    <w:sectPr w:rsidSect="0032366B" w:rsidR="00DA0242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5AE1542"/>
    <w:multiLevelType w:val="hybridMultilevel"/>
    <w:tmpl w:val="082259A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3E2A87"/>
    <w:multiLevelType w:val="hybridMultilevel"/>
    <w:tmpl w:val="403A44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1B33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C47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5A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E35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0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0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811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992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St-383/2013-91</izvorni_sadrzaj>
    <derivirana_varijabla naziv="DomainObject.Oznaka_1">St-383/2013-91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2013.</izvorni_sadrzaj>
    <derivirana_varijabla naziv="DomainObject.Predmet.DatumOsnivanja_1">31.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St-383/2013</izvorni_sadrzaj>
    <derivirana_varijabla naziv="DomainObject.Predmet.OznakaBroj_1">St-383/2013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TRGOVAČKI CENTAR VARAŽDIN d.o.o. za poslovanje nekretninama "u stečaju"</izvorni_sadrzaj>
    <derivirana_varijabla naziv="DomainObject.Predmet.ProtustrankaFormated_1">  TRGOVAČKI CENTAR VARAŽDIN d.o.o. za poslovanje nekretninama "u stečaju"</derivirana_varijabla>
  </DomainObject.Predmet.ProtustrankaFormated>
  <DomainObject.Predmet.ProtustrankaFormatedOIB>
    <izvorni_sadrzaj>  TRGOVAČKI CENTAR VARAŽDIN d.o.o. za poslovanje nekretninama "u stečaju", OIB 19502152156</izvorni_sadrzaj>
    <derivirana_varijabla naziv="DomainObject.Predmet.ProtustrankaFormatedOIB_1">  TRGOVAČKI CENTAR VARAŽDIN d.o.o. za poslovanje nekretninama "u stečaju", OIB 19502152156</derivirana_varijabla>
  </DomainObject.Predmet.ProtustrankaFormatedOIB>
  <DomainObject.Predmet.ProtustrankaFormatedWithAdress>
    <izvorni_sadrzaj> TRGOVAČKI CENTAR VARAŽDIN d.o.o. za poslovanje nekretninama "u stečaju", Graberje 13, 42000 Varaždin</izvorni_sadrzaj>
    <derivirana_varijabla naziv="DomainObject.Predmet.ProtustrankaFormatedWithAdress_1"> TRGOVAČKI CENTAR VARAŽDIN d.o.o. za poslovanje nekretninama "u stečaju", Graberje 13, 42000 Varaždin</derivirana_varijabla>
  </DomainObject.Predmet.ProtustrankaFormatedWithAdress>
  <DomainObject.Predmet.ProtustrankaFormatedWithAdressOIB>
    <izvorni_sadrzaj> TRGOVAČKI CENTAR VARAŽDIN d.o.o. za poslovanje nekretninama "u stečaju", OIB 19502152156, Graberje 13, 42000 Varaždin</izvorni_sadrzaj>
    <derivirana_varijabla naziv="DomainObject.Predmet.ProtustrankaFormatedWithAdressOIB_1"> TRGOVAČKI CENTAR VARAŽDIN d.o.o. za poslovanje nekretninama "u stečaju", OIB 19502152156, Graberje 13, 42000 Varaždin</derivirana_varijabla>
  </DomainObject.Predmet.ProtustrankaFormatedWithAdressOIB>
  <DomainObject.Predmet.ProtustrankaWithAdress>
    <izvorni_sadrzaj>TRGOVAČKI CENTAR VARAŽDIN d.o.o. za poslovanje nekretninama "u stečaju" Graberje 13, 42000 Varaždin</izvorni_sadrzaj>
    <derivirana_varijabla naziv="DomainObject.Predmet.ProtustrankaWithAdress_1">TRGOVAČKI CENTAR VARAŽDIN d.o.o. za poslovanje nekretninama "u stečaju" Graberje 13, 42000 Varaždin</derivirana_varijabla>
  </DomainObject.Predmet.ProtustrankaWithAdress>
  <DomainObject.Predmet.ProtustrankaWithAdressOIB>
    <izvorni_sadrzaj>TRGOVAČKI CENTAR VARAŽDIN d.o.o. za poslovanje nekretninama "u stečaju", OIB 19502152156, Graberje 13, 42000 Varaždin</izvorni_sadrzaj>
    <derivirana_varijabla naziv="DomainObject.Predmet.ProtustrankaWithAdressOIB_1">TRGOVAČKI CENTAR VARAŽDIN d.o.o. za poslovanje nekretninama "u stečaju", OIB 19502152156, Graberje 13, 42000 Varaždin</derivirana_varijabla>
  </DomainObject.Predmet.ProtustrankaWithAdressOIB>
  <DomainObject.Predmet.ProtustrankaNazivFormated>
    <izvorni_sadrzaj>TRGOVAČKI CENTAR VARAŽDIN d.o.o. za poslovanje nekretninama "u stečaju"</izvorni_sadrzaj>
    <derivirana_varijabla naziv="DomainObject.Predmet.ProtustrankaNazivFormated_1">TRGOVAČKI CENTAR VARAŽDIN d.o.o. za poslovanje nekretninama "u stečaju"</derivirana_varijabla>
  </DomainObject.Predmet.ProtustrankaNazivFormated>
  <DomainObject.Predmet.ProtustrankaNazivFormatedOIB>
    <izvorni_sadrzaj>TRGOVAČKI CENTAR VARAŽDIN d.o.o. za poslovanje nekretninama "u stečaju", OIB 19502152156</izvorni_sadrzaj>
    <derivirana_varijabla naziv="DomainObject.Predmet.ProtustrankaNazivFormatedOIB_1">TRGOVAČKI CENTAR VARAŽDIN d.o.o. za poslovanje nekretninama "u stečaju", OIB 19502152156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HARALD CHRISTOPH PEHAM</izvorni_sadrzaj>
    <derivirana_varijabla naziv="DomainObject.Predmet.StrankaFormated_1">  HARALD CHRISTOPH PEHAM</derivirana_varijabla>
  </DomainObject.Predmet.StrankaFormated>
  <DomainObject.Predmet.StrankaFormatedOIB>
    <izvorni_sadrzaj>  HARALD CHRISTOPH PEHAM, OIB 19391353143</izvorni_sadrzaj>
    <derivirana_varijabla naziv="DomainObject.Predmet.StrankaFormatedOIB_1">  HARALD CHRISTOPH PEHAM, OIB 19391353143</derivirana_varijabla>
  </DomainObject.Predmet.StrankaFormatedOIB>
  <DomainObject.Predmet.StrankaFormatedWithAdress>
    <izvorni_sadrzaj> HARALD CHRISTOPH PEHAM, Wegerer Strasse 45, Steyr</izvorni_sadrzaj>
    <derivirana_varijabla naziv="DomainObject.Predmet.StrankaFormatedWithAdress_1"> HARALD CHRISTOPH PEHAM, Wegerer Strasse 45, Steyr</derivirana_varijabla>
  </DomainObject.Predmet.StrankaFormatedWithAdress>
  <DomainObject.Predmet.StrankaFormatedWithAdressOIB>
    <izvorni_sadrzaj> HARALD CHRISTOPH PEHAM, OIB 19391353143, Wegerer Strasse 45, Steyr</izvorni_sadrzaj>
    <derivirana_varijabla naziv="DomainObject.Predmet.StrankaFormatedWithAdressOIB_1"> HARALD CHRISTOPH PEHAM, OIB 19391353143, Wegerer Strasse 45, Steyr</derivirana_varijabla>
  </DomainObject.Predmet.StrankaFormatedWithAdressOIB>
  <DomainObject.Predmet.StrankaWithAdress>
    <izvorni_sadrzaj>HARALD CHRISTOPH PEHAM Wegerer Strasse 45,Steyr</izvorni_sadrzaj>
    <derivirana_varijabla naziv="DomainObject.Predmet.StrankaWithAdress_1">HARALD CHRISTOPH PEHAM Wegerer Strasse 45,Steyr</derivirana_varijabla>
  </DomainObject.Predmet.StrankaWithAdress>
  <DomainObject.Predmet.StrankaWithAdressOIB>
    <izvorni_sadrzaj>HARALD CHRISTOPH PEHAM, OIB 19391353143, Wegerer Strasse 45,Steyr</izvorni_sadrzaj>
    <derivirana_varijabla naziv="DomainObject.Predmet.StrankaWithAdressOIB_1">HARALD CHRISTOPH PEHAM, OIB 19391353143, Wegerer Strasse 45,Steyr</derivirana_varijabla>
  </DomainObject.Predmet.StrankaWithAdressOIB>
  <DomainObject.Predmet.StrankaNazivFormated>
    <izvorni_sadrzaj>HARALD CHRISTOPH PEHAM</izvorni_sadrzaj>
    <derivirana_varijabla naziv="DomainObject.Predmet.StrankaNazivFormated_1">HARALD CHRISTOPH PEHAM</derivirana_varijabla>
  </DomainObject.Predmet.StrankaNazivFormated>
  <DomainObject.Predmet.StrankaNazivFormatedOIB>
    <izvorni_sadrzaj>HARALD CHRISTOPH PEHAM, OIB 19391353143</izvorni_sadrzaj>
    <derivirana_varijabla naziv="DomainObject.Predmet.StrankaNazivFormatedOIB_1">HARALD CHRISTOPH PEHAM, OIB 19391353143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HARALD CHRISTOPH PEHAM</item>
    </izvorni_sadrzaj>
    <derivirana_varijabla naziv="DomainObject.Predmet.StrankaListFormated_1">
      <item>HARALD CHRISTOPH PEHAM</item>
    </derivirana_varijabla>
  </DomainObject.Predmet.StrankaListFormated>
  <DomainObject.Predmet.StrankaListFormatedOIB>
    <izvorni_sadrzaj>
      <item>HARALD CHRISTOPH PEHAM, OIB 19391353143</item>
    </izvorni_sadrzaj>
    <derivirana_varijabla naziv="DomainObject.Predmet.StrankaListFormatedOIB_1">
      <item>HARALD CHRISTOPH PEHAM, OIB 19391353143</item>
    </derivirana_varijabla>
  </DomainObject.Predmet.StrankaListFormatedOIB>
  <DomainObject.Predmet.StrankaListFormatedWithAdress>
    <izvorni_sadrzaj>
      <item>HARALD CHRISTOPH PEHAM, Wegerer Strasse 45, Steyr</item>
    </izvorni_sadrzaj>
    <derivirana_varijabla naziv="DomainObject.Predmet.StrankaListFormatedWithAdress_1">
      <item>HARALD CHRISTOPH PEHAM, Wegerer Strasse 45, Steyr</item>
    </derivirana_varijabla>
  </DomainObject.Predmet.StrankaListFormatedWithAdress>
  <DomainObject.Predmet.StrankaListFormatedWithAdressOIB>
    <izvorni_sadrzaj>
      <item>HARALD CHRISTOPH PEHAM, OIB 19391353143, Wegerer Strasse 45, Steyr</item>
    </izvorni_sadrzaj>
    <derivirana_varijabla naziv="DomainObject.Predmet.StrankaListFormatedWithAdressOIB_1">
      <item>HARALD CHRISTOPH PEHAM, OIB 19391353143, Wegerer Strasse 45, Steyr</item>
    </derivirana_varijabla>
  </DomainObject.Predmet.StrankaListFormatedWithAdressOIB>
  <DomainObject.Predmet.StrankaListNazivFormated>
    <izvorni_sadrzaj>
      <item>HARALD CHRISTOPH PEHAM</item>
    </izvorni_sadrzaj>
    <derivirana_varijabla naziv="DomainObject.Predmet.StrankaListNazivFormated_1">
      <item>HARALD CHRISTOPH PEHAM</item>
    </derivirana_varijabla>
  </DomainObject.Predmet.StrankaListNazivFormated>
  <DomainObject.Predmet.StrankaListNazivFormatedOIB>
    <izvorni_sadrzaj>
      <item>HARALD CHRISTOPH PEHAM, OIB 19391353143</item>
    </izvorni_sadrzaj>
    <derivirana_varijabla naziv="DomainObject.Predmet.StrankaListNazivFormatedOIB_1">
      <item>HARALD CHRISTOPH PEHAM, OIB 19391353143</item>
    </derivirana_varijabla>
  </DomainObject.Predmet.StrankaListNazivFormatedOIB>
  <DomainObject.Predmet.ProtuStrankaListFormated>
    <izvorni_sadrzaj>
      <item>TRGOVAČKI CENTAR VARAŽDIN d.o.o. za poslovanje nekretninama "u stečaju"</item>
    </izvorni_sadrzaj>
    <derivirana_varijabla naziv="DomainObject.Predmet.ProtuStrankaListFormated_1">
      <item>TRGOVAČKI CENTAR VARAŽDIN d.o.o. za poslovanje nekretninama "u stečaju"</item>
    </derivirana_varijabla>
  </DomainObject.Predmet.ProtuStrankaListFormated>
  <DomainObject.Predmet.ProtuStrankaListFormatedOIB>
    <izvorni_sadrzaj>
      <item>TRGOVAČKI CENTAR VARAŽDIN d.o.o. za poslovanje nekretninama "u stečaju", OIB 19502152156</item>
    </izvorni_sadrzaj>
    <derivirana_varijabla naziv="DomainObject.Predmet.ProtuStrankaListFormatedOIB_1">
      <item>TRGOVAČKI CENTAR VARAŽDIN d.o.o. za poslovanje nekretninama "u stečaju", OIB 19502152156</item>
    </derivirana_varijabla>
  </DomainObject.Predmet.ProtuStrankaListFormatedOIB>
  <DomainObject.Predmet.ProtuStrankaListFormatedWithAdress>
    <izvorni_sadrzaj>
      <item>TRGOVAČKI CENTAR VARAŽDIN d.o.o. za poslovanje nekretninama "u stečaju", Graberje 13, 42000 Varaždin</item>
    </izvorni_sadrzaj>
    <derivirana_varijabla naziv="DomainObject.Predmet.ProtuStrankaListFormatedWithAdress_1">
      <item>TRGOVAČKI CENTAR VARAŽDIN d.o.o. za poslovanje nekretninama "u stečaju", Graberje 13, 42000 Varaždin</item>
    </derivirana_varijabla>
  </DomainObject.Predmet.ProtuStrankaListFormatedWithAdress>
  <DomainObject.Predmet.ProtuStrankaListFormatedWithAdressOIB>
    <izvorni_sadrzaj>
      <item>TRGOVAČKI CENTAR VARAŽDIN d.o.o. za poslovanje nekretninama "u stečaju", OIB 19502152156, Graberje 13, 42000 Varaždin</item>
    </izvorni_sadrzaj>
    <derivirana_varijabla naziv="DomainObject.Predmet.ProtuStrankaListFormatedWithAdressOIB_1">
      <item>TRGOVAČKI CENTAR VARAŽDIN d.o.o. za poslovanje nekretninama "u stečaju", OIB 19502152156, Graberje 13, 42000 Varaždin</item>
    </derivirana_varijabla>
  </DomainObject.Predmet.ProtuStrankaListFormatedWithAdressOIB>
  <DomainObject.Predmet.ProtuStrankaListNazivFormated>
    <izvorni_sadrzaj>
      <item>TRGOVAČKI CENTAR VARAŽDIN d.o.o. za poslovanje nekretninama "u stečaju"</item>
    </izvorni_sadrzaj>
    <derivirana_varijabla naziv="DomainObject.Predmet.ProtuStrankaListNazivFormated_1">
      <item>TRGOVAČKI CENTAR VARAŽDIN d.o.o. za poslovanje nekretninama "u stečaju"</item>
    </derivirana_varijabla>
  </DomainObject.Predmet.ProtuStrankaListNazivFormated>
  <DomainObject.Predmet.ProtuStrankaListNazivFormatedOIB>
    <izvorni_sadrzaj>
      <item>TRGOVAČKI CENTAR VARAŽDIN d.o.o. za poslovanje nekretninama "u stečaju", OIB 19502152156</item>
    </izvorni_sadrzaj>
    <derivirana_varijabla naziv="DomainObject.Predmet.ProtuStrankaListNazivFormatedOIB_1">
      <item>TRGOVAČKI CENTAR VARAŽDIN d.o.o. za poslovanje nekretninama "u stečaju", OIB 19502152156</item>
    </derivirana_varijabla>
  </DomainObject.Predmet.ProtuStrankaListNazivFormatedOIB>
  <DomainObject.Predmet.OstaliListFormated>
    <izvorni_sadrzaj>
      <item>PEĆAREVIĆ &amp; RELIĆ odvjetničko društvo</item>
      <item>ŽELIMIR URŠULIN</item>
      <item>ŽDO Varaždin, Građansko upravni odjel</item>
      <item>oglasna ploča suda</item>
      <item>Odvjetničko društvo Vlahov, Buhin i Šourek</item>
      <item>MARLEX INVEST društvo s ograničenom odgovornošću za nekretnine, trgovinu i usluge</item>
      <item>ZOU Josip Kozjak i Miroslav Rendić</item>
      <item>GRAD VARAŽDIN</item>
      <item>STIPIĆ GRUPA d.o.o.</item>
      <item>ZOU V. Adžić i I. Adžić</item>
    </izvorni_sadrzaj>
    <derivirana_varijabla naziv="DomainObject.Predmet.OstaliListFormated_1">
      <item>PEĆAREVIĆ &amp; RELIĆ odvjetničko društvo</item>
      <item>ŽELIMIR URŠULIN</item>
      <item>ŽDO Varaždin, Građansko upravni odjel</item>
      <item>oglasna ploča suda</item>
      <item>Odvjetničko društvo Vlahov, Buhin i Šourek</item>
      <item>MARLEX INVEST društvo s ograničenom odgovornošću za nekretnine, trgovinu i usluge</item>
      <item>ZOU Josip Kozjak i Miroslav Rendić</item>
      <item>GRAD VARAŽDIN</item>
      <item>STIPIĆ GRUPA d.o.o.</item>
      <item>ZOU V. Adžić i I. Adžić</item>
    </derivirana_varijabla>
  </DomainObject.Predmet.OstaliListFormated>
  <DomainObject.Predmet.OstaliListFormatedOIB>
    <izvorni_sadrzaj>
      <item>PEĆAREVIĆ &amp; RELIĆ odvjetničko društvo, OIB 09348249237</item>
      <item>ŽELIMIR URŠULIN, OIB 03842320752</item>
      <item>ŽDO Varaždin, Građansko upravni odjel</item>
      <item>oglasna ploča suda</item>
      <item>Odvjetničko društvo Vlahov, Buhin i Šourek</item>
      <item>MARLEX INVEST društvo s ograničenom odgovornošću za nekretnine, trgovinu i usluge, OIB 45418357043</item>
      <item>ZOU Josip Kozjak i Miroslav Rendić</item>
      <item>GRAD VARAŽDIN</item>
      <item>STIPIĆ GRUPA d.o.o.</item>
      <item>ZOU V. Adžić i I. Adžić</item>
    </izvorni_sadrzaj>
    <derivirana_varijabla naziv="DomainObject.Predmet.OstaliListFormatedOIB_1">
      <item>PEĆAREVIĆ &amp; RELIĆ odvjetničko društvo, OIB 09348249237</item>
      <item>ŽELIMIR URŠULIN, OIB 03842320752</item>
      <item>ŽDO Varaždin, Građansko upravni odjel</item>
      <item>oglasna ploča suda</item>
      <item>Odvjetničko društvo Vlahov, Buhin i Šourek</item>
      <item>MARLEX INVEST društvo s ograničenom odgovornošću za nekretnine, trgovinu i usluge, OIB 45418357043</item>
      <item>ZOU Josip Kozjak i Miroslav Rendić</item>
      <item>GRAD VARAŽDIN</item>
      <item>STIPIĆ GRUPA d.o.o.</item>
      <item>ZOU V. Adžić i I. Adžić</item>
    </derivirana_varijabla>
  </DomainObject.Predmet.OstaliListFormatedOIB>
  <DomainObject.Predmet.OstaliListFormatedWithAdress>
    <izvorni_sadrzaj>
      <item>PEĆAREVIĆ &amp; RELIĆ odvjetničko društvo, Zaharova 5, 10000 Zagreb</item>
      <item>ŽELIMIR URŠULIN, Trg hrvatskih ivanovaca 9, 42240 Ivanec</item>
      <item>ŽDO Varaždin, Građansko upravni odjel</item>
      <item>oglasna ploča suda</item>
      <item>Odvjetničko društvo Vlahov, Buhin i Šourek, Ulica kneza Branimira 29/I, 10000 Zagreb</item>
      <item>MARLEX INVEST društvo s ograničenom odgovornošću za nekretnine, trgovinu i usluge, Kučanska 24, 42000 Varaždin</item>
      <item>ZOU Josip Kozjak i Miroslav Rendić, Franjevački trg 11, 42000 Varaždin</item>
      <item>GRAD VARAŽDIN, Trg kralja Tomislava 1, 42000 Varaždin</item>
      <item>STIPIĆ GRUPA d.o.o., Ventilatorska 24, 10000 Zagreb</item>
      <item>ZOU V. Adžić i I. Adžić, Držićeva 6/3, 10000 Zagreb</item>
    </izvorni_sadrzaj>
    <derivirana_varijabla naziv="DomainObject.Predmet.OstaliListFormatedWithAdress_1">
      <item>PEĆAREVIĆ &amp; RELIĆ odvjetničko društvo, Zaharova 5, 10000 Zagreb</item>
      <item>ŽELIMIR URŠULIN, Trg hrvatskih ivanovaca 9, 42240 Ivanec</item>
      <item>ŽDO Varaždin, Građansko upravni odjel</item>
      <item>oglasna ploča suda</item>
      <item>Odvjetničko društvo Vlahov, Buhin i Šourek, Ulica kneza Branimira 29/I, 10000 Zagreb</item>
      <item>MARLEX INVEST društvo s ograničenom odgovornošću za nekretnine, trgovinu i usluge, Kučanska 24, 42000 Varaždin</item>
      <item>ZOU Josip Kozjak i Miroslav Rendić, Franjevački trg 11, 42000 Varaždin</item>
      <item>GRAD VARAŽDIN, Trg kralja Tomislava 1, 42000 Varaždin</item>
      <item>STIPIĆ GRUPA d.o.o., Ventilatorska 24, 10000 Zagreb</item>
      <item>ZOU V. Adžić i I. Adžić, Držićeva 6/3, 10000 Zagreb</item>
    </derivirana_varijabla>
  </DomainObject.Predmet.OstaliListFormatedWithAdress>
  <DomainObject.Predmet.OstaliListFormatedWithAdressOIB>
    <izvorni_sadrzaj>
      <item>PEĆAREVIĆ &amp; RELIĆ odvjetničko društvo, OIB 09348249237, Zaharova 5, 10000 Zagreb</item>
      <item>ŽELIMIR URŠULIN, OIB 03842320752, Trg hrvatskih ivanovaca 9, 42240 Ivanec</item>
      <item>ŽDO Varaždin, Građansko upravni odjel</item>
      <item>oglasna ploča suda</item>
      <item>Odvjetničko društvo Vlahov, Buhin i Šourek, Ulica kneza Branimira 29/I, 10000 Zagreb</item>
      <item>MARLEX INVEST društvo s ograničenom odgovornošću za nekretnine, trgovinu i usluge, OIB 45418357043, Kučanska 24, 42000 Varaždin</item>
      <item>ZOU Josip Kozjak i Miroslav Rendić, Franjevački trg 11, 42000 Varaždin</item>
      <item>GRAD VARAŽDIN, Trg kralja Tomislava 1, 42000 Varaždin</item>
      <item>STIPIĆ GRUPA d.o.o., Ventilatorska 24, 10000 Zagreb</item>
      <item>ZOU V. Adžić i I. Adžić, Držićeva 6/3, 10000 Zagreb</item>
    </izvorni_sadrzaj>
    <derivirana_varijabla naziv="DomainObject.Predmet.OstaliListFormatedWithAdressOIB_1">
      <item>PEĆAREVIĆ &amp; RELIĆ odvjetničko društvo, OIB 09348249237, Zaharova 5, 10000 Zagreb</item>
      <item>ŽELIMIR URŠULIN, OIB 03842320752, Trg hrvatskih ivanovaca 9, 42240 Ivanec</item>
      <item>ŽDO Varaždin, Građansko upravni odjel</item>
      <item>oglasna ploča suda</item>
      <item>Odvjetničko društvo Vlahov, Buhin i Šourek, Ulica kneza Branimira 29/I, 10000 Zagreb</item>
      <item>MARLEX INVEST društvo s ograničenom odgovornošću za nekretnine, trgovinu i usluge, OIB 45418357043, Kučanska 24, 42000 Varaždin</item>
      <item>ZOU Josip Kozjak i Miroslav Rendić, Franjevački trg 11, 42000 Varaždin</item>
      <item>GRAD VARAŽDIN, Trg kralja Tomislava 1, 42000 Varaždin</item>
      <item>STIPIĆ GRUPA d.o.o., Ventilatorska 24, 10000 Zagreb</item>
      <item>ZOU V. Adžić i I. Adžić, Držićeva 6/3, 10000 Zagreb</item>
    </derivirana_varijabla>
  </DomainObject.Predmet.OstaliListFormatedWithAdressOIB>
  <DomainObject.Predmet.OstaliListNazivFormated>
    <izvorni_sadrzaj>
      <item>PEĆAREVIĆ &amp; RELIĆ odvjetničko društvo</item>
      <item>ŽELIMIR URŠULIN</item>
      <item>ŽDO Varaždin, Građansko upravni odjel</item>
      <item>oglasna ploča suda</item>
      <item>Odvjetničko društvo Vlahov, Buhin i Šourek</item>
      <item>MARLEX INVEST društvo s ograničenom odgovornošću za nekretnine, trgovinu i usluge</item>
      <item>ZOU Josip Kozjak i Miroslav Rendić</item>
      <item>GRAD VARAŽDIN</item>
      <item>STIPIĆ GRUPA d.o.o.</item>
      <item>ZOU V. Adžić i I. Adžić</item>
    </izvorni_sadrzaj>
    <derivirana_varijabla naziv="DomainObject.Predmet.OstaliListNazivFormated_1">
      <item>PEĆAREVIĆ &amp; RELIĆ odvjetničko društvo</item>
      <item>ŽELIMIR URŠULIN</item>
      <item>ŽDO Varaždin, Građansko upravni odjel</item>
      <item>oglasna ploča suda</item>
      <item>Odvjetničko društvo Vlahov, Buhin i Šourek</item>
      <item>MARLEX INVEST društvo s ograničenom odgovornošću za nekretnine, trgovinu i usluge</item>
      <item>ZOU Josip Kozjak i Miroslav Rendić</item>
      <item>GRAD VARAŽDIN</item>
      <item>STIPIĆ GRUPA d.o.o.</item>
      <item>ZOU V. Adžić i I. Adžić</item>
    </derivirana_varijabla>
  </DomainObject.Predmet.OstaliListNazivFormated>
  <DomainObject.Predmet.OstaliListNazivFormatedOIB>
    <izvorni_sadrzaj>
      <item>PEĆAREVIĆ &amp; RELIĆ odvjetničko društvo, OIB 09348249237</item>
      <item>ŽELIMIR URŠULIN, OIB 03842320752</item>
      <item>ŽDO Varaždin, Građansko upravni odjel</item>
      <item>oglasna ploča suda</item>
      <item>Odvjetničko društvo Vlahov, Buhin i Šourek</item>
      <item>MARLEX INVEST društvo s ograničenom odgovornošću za nekretnine, trgovinu i usluge, OIB 45418357043</item>
      <item>ZOU Josip Kozjak i Miroslav Rendić</item>
      <item>GRAD VARAŽDIN</item>
      <item>STIPIĆ GRUPA d.o.o.</item>
      <item>ZOU V. Adžić i I. Adžić</item>
    </izvorni_sadrzaj>
    <derivirana_varijabla naziv="DomainObject.Predmet.OstaliListNazivFormatedOIB_1">
      <item>PEĆAREVIĆ &amp; RELIĆ odvjetničko društvo, OIB 09348249237</item>
      <item>ŽELIMIR URŠULIN, OIB 03842320752</item>
      <item>ŽDO Varaždin, Građansko upravni odjel</item>
      <item>oglasna ploča suda</item>
      <item>Odvjetničko društvo Vlahov, Buhin i Šourek</item>
      <item>MARLEX INVEST društvo s ograničenom odgovornošću za nekretnine, trgovinu i usluge, OIB 45418357043</item>
      <item>ZOU Josip Kozjak i Miroslav Rendić</item>
      <item>GRAD VARAŽDIN</item>
      <item>STIPIĆ GRUPA d.o.o.</item>
      <item>ZOU V. Adžić i I. Adžić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>St-383/2013-91</izvorni_sadrzaj>
    <derivirana_varijabla naziv="DomainObject.PoslovniBrojDokumenta_1">St-383/2013-91</derivirana_varijabla>
  </DomainObject.PoslovniBrojDokumenta>
  <DomainObject.Predmet.StrankaIDrugi>
    <izvorni_sadrzaj>HARALD CHRISTOPH PEHAM</izvorni_sadrzaj>
    <derivirana_varijabla naziv="DomainObject.Predmet.StrankaIDrugi_1">HARALD CHRISTOPH PEHAM</derivirana_varijabla>
  </DomainObject.Predmet.StrankaIDrugi>
  <DomainObject.Predmet.ProtustrankaIDrugi>
    <izvorni_sadrzaj>TRGOVAČKI CENTAR VARAŽDIN d.o.o. za poslovanje nekretninama "u stečaju"</izvorni_sadrzaj>
    <derivirana_varijabla naziv="DomainObject.Predmet.ProtustrankaIDrugi_1">TRGOVAČKI CENTAR VARAŽDIN d.o.o. za poslovanje nekretninama "u stečaju"</derivirana_varijabla>
  </DomainObject.Predmet.ProtustrankaIDrugi>
  <DomainObject.Predmet.StrankaIDrugiAdressOIB>
    <izvorni_sadrzaj>HARALD CHRISTOPH PEHAM, OIB 19391353143, Wegerer Strasse 45, Steyr</izvorni_sadrzaj>
    <derivirana_varijabla naziv="DomainObject.Predmet.StrankaIDrugiAdressOIB_1">HARALD CHRISTOPH PEHAM, OIB 19391353143, Wegerer Strasse 45, Steyr</derivirana_varijabla>
  </DomainObject.Predmet.StrankaIDrugiAdressOIB>
  <DomainObject.Predmet.ProtustrankaIDrugiAdressOIB>
    <izvorni_sadrzaj>TRGOVAČKI CENTAR VARAŽDIN d.o.o. za poslovanje nekretninama "u stečaju", OIB 19502152156, Graberje 13, 42000 Varaždin</izvorni_sadrzaj>
    <derivirana_varijabla naziv="DomainObject.Predmet.ProtustrankaIDrugiAdressOIB_1">TRGOVAČKI CENTAR VARAŽDIN d.o.o. za poslovanje nekretninama "u stečaju", OIB 19502152156, Graberje 13,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PEĆAREVIĆ &amp; RELIĆ odvjetničko društvo</item>
      <item>TRGOVAČKI CENTAR VARAŽDIN d.o.o. za poslovanje nekretninama "u stečaju"</item>
      <item>HARALD CHRISTOPH PEHAM</item>
      <item>ŽELIMIR URŠULIN</item>
      <item>ŽDO Varaždin, Građansko upravni odjel</item>
      <item>oglasna ploča suda</item>
      <item>Odvjetničko društvo Vlahov, Buhin i Šourek</item>
      <item>MARLEX INVEST društvo s ograničenom odgovornošću za nekretnine, trgovinu i usluge</item>
      <item>ZOU Josip Kozjak i Miroslav Rendić</item>
      <item>GRAD VARAŽDIN</item>
      <item>STIPIĆ GRUPA d.o.o.</item>
      <item>ZOU V. Adžić i I. Adžić</item>
    </izvorni_sadrzaj>
    <derivirana_varijabla naziv="DomainObject.Predmet.SudioniciListNaziv_1">
      <item>PEĆAREVIĆ &amp; RELIĆ odvjetničko društvo</item>
      <item>TRGOVAČKI CENTAR VARAŽDIN d.o.o. za poslovanje nekretninama "u stečaju"</item>
      <item>HARALD CHRISTOPH PEHAM</item>
      <item>ŽELIMIR URŠULIN</item>
      <item>ŽDO Varaždin, Građansko upravni odjel</item>
      <item>oglasna ploča suda</item>
      <item>Odvjetničko društvo Vlahov, Buhin i Šourek</item>
      <item>MARLEX INVEST društvo s ograničenom odgovornošću za nekretnine, trgovinu i usluge</item>
      <item>ZOU Josip Kozjak i Miroslav Rendić</item>
      <item>GRAD VARAŽDIN</item>
      <item>STIPIĆ GRUPA d.o.o.</item>
      <item>ZOU V. Adžić i I. Adžić</item>
    </derivirana_varijabla>
  </DomainObject.Predmet.SudioniciListNaziv>
  <DomainObject.Predmet.SudioniciListAdressOIB>
    <izvorni_sadrzaj>
      <item>PEĆAREVIĆ &amp; RELIĆ odvjetničko društvo, OIB 09348249237, Zaharova 5,10000 Zagreb</item>
      <item>TRGOVAČKI CENTAR VARAŽDIN d.o.o. za poslovanje nekretninama "u stečaju", OIB 19502152156, Graberje 13,42000 Varaždin</item>
      <item>HARALD CHRISTOPH PEHAM, OIB 19391353143, Wegerer Strasse 45,Steyr</item>
      <item>ŽELIMIR URŠULIN, OIB 03842320752, Trg hrvatskih ivanovaca 9,42240 Ivanec</item>
      <item>ŽDO Varaždin, Građansko upravni odjel</item>
      <item>oglasna ploča suda</item>
      <item>Odvjetničko društvo Vlahov, Buhin i Šourek, Ulica kneza Branimira 29/I,10000 Zagreb</item>
      <item>MARLEX INVEST društvo s ograničenom odgovornošću za nekretnine, trgovinu i usluge, OIB 45418357043, Kučanska 24,42000 Varaždin</item>
      <item>ZOU Josip Kozjak i Miroslav Rendić, Franjevački trg 11,42000 Varaždin</item>
      <item>GRAD VARAŽDIN, Trg kralja Tomislava 1,42000 Varaždin</item>
      <item>STIPIĆ GRUPA d.o.o., Ventilatorska 24,10000 Zagreb</item>
      <item>ZOU V. Adžić i I. Adžić, Držićeva 6/3,10000 Zagreb</item>
    </izvorni_sadrzaj>
    <derivirana_varijabla naziv="DomainObject.Predmet.SudioniciListAdressOIB_1">
      <item>PEĆAREVIĆ &amp; RELIĆ odvjetničko društvo, OIB 09348249237, Zaharova 5,10000 Zagreb</item>
      <item>TRGOVAČKI CENTAR VARAŽDIN d.o.o. za poslovanje nekretninama "u stečaju", OIB 19502152156, Graberje 13,42000 Varaždin</item>
      <item>HARALD CHRISTOPH PEHAM, OIB 19391353143, Wegerer Strasse 45,Steyr</item>
      <item>ŽELIMIR URŠULIN, OIB 03842320752, Trg hrvatskih ivanovaca 9,42240 Ivanec</item>
      <item>ŽDO Varaždin, Građansko upravni odjel</item>
      <item>oglasna ploča suda</item>
      <item>Odvjetničko društvo Vlahov, Buhin i Šourek, Ulica kneza Branimira 29/I,10000 Zagreb</item>
      <item>MARLEX INVEST društvo s ograničenom odgovornošću za nekretnine, trgovinu i usluge, OIB 45418357043, Kučanska 24,42000 Varaždin</item>
      <item>ZOU Josip Kozjak i Miroslav Rendić, Franjevački trg 11,42000 Varaždin</item>
      <item>GRAD VARAŽDIN, Trg kralja Tomislava 1,42000 Varaždin</item>
      <item>STIPIĆ GRUPA d.o.o., Ventilatorska 24,10000 Zagreb</item>
      <item>ZOU V. Adžić i I. Adžić, Držićeva 6/3,10000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C10150-D014-4869-BDC8-C4AF25BCD1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406</properties:Words>
  <properties:Characters>2185</properties:Characters>
  <properties:Lines>147</properties:Lines>
  <properties:Paragraphs>64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2016-12-28T07:23:00Z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St-383/2013-91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