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b382" w14:paraId="10eb382"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001F74">
        <w:rPr>
          <w:bCs/>
        </w:rPr>
        <w:t>-1209</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B20843">
        <w:t>7</w:t>
      </w:r>
      <w:r w:rsidR="00D91376">
        <w:t>. ožujka 2016.</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pPr>
        <w:jc w:val="center"/>
        <w:rPr>
          <w:bCs/>
        </w:rPr>
      </w:pPr>
      <w:r w:rsidRPr="00DD5DD8">
        <w:rPr>
          <w:bCs/>
        </w:rPr>
        <w:t>PRODAJI</w:t>
      </w:r>
    </w:p>
    <w:p w:rsidRDefault="00065E2B" w:rsidR="00065E2B">
      <w:pPr>
        <w:jc w:val="center"/>
        <w:rPr>
          <w:bCs/>
        </w:rPr>
      </w:pPr>
    </w:p>
    <w:p w:rsidRDefault="00065E2B" w:rsidR="00D12A6C" w:rsidRPr="00065E2B">
      <w:pPr>
        <w:rPr>
          <w:bCs/>
        </w:rPr>
      </w:pPr>
      <w:r>
        <w:rPr>
          <w:bCs/>
        </w:rPr>
        <w:tab/>
        <w:t>I</w:t>
      </w:r>
      <w:r>
        <w:rPr>
          <w:bCs/>
        </w:rPr>
        <w:tab/>
        <w:t xml:space="preserve">Oglašava se nevažećom dosuda kojom je rješenjem o dosudi ovog suda pod brojem St-790/13 od 10. lipnja 2015. godine dosuđen stan pod točkom II A) ovog zaključka kupcu TOMEX d.o.o. </w:t>
      </w:r>
      <w:r>
        <w:rPr>
          <w:color w:val="000000"/>
        </w:rPr>
        <w:t xml:space="preserve">Veliki Grđevac, Ul. K. Tomislava 20, OIB: 30816030994. </w:t>
      </w:r>
      <w:r>
        <w:rPr>
          <w:bCs/>
        </w:rPr>
        <w:t xml:space="preserve"> </w:t>
      </w:r>
    </w:p>
    <w:p w:rsidRDefault="00D12A6C" w:rsidP="00D04202" w:rsidR="007053D2">
      <w:pPr>
        <w:jc w:val="both"/>
      </w:pPr>
      <w:r w:rsidRPr="00DD5DD8">
        <w:tab/>
      </w:r>
      <w:r w:rsidRPr="00DD5DD8">
        <w:rPr>
          <w:bCs/>
        </w:rPr>
        <w:t>I</w:t>
      </w:r>
      <w:r w:rsidR="00065E2B">
        <w:t>I</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p w:rsidRDefault="00A906CF" w:rsidP="00D04202" w:rsidR="00A906CF" w:rsidRPr="003020A6">
      <w:pPr>
        <w:jc w:val="both"/>
      </w:pPr>
    </w:p>
    <w:p w:rsidRDefault="003020A6" w:rsidP="003020A6" w:rsidR="003020A6" w:rsidRPr="003020A6">
      <w:pPr>
        <w:jc w:val="both"/>
        <w:rPr>
          <w:bCs/>
        </w:rPr>
      </w:pPr>
      <w:r w:rsidRPr="00C159CE">
        <w:rPr>
          <w:bCs/>
          <w:color w:val="444444"/>
        </w:rPr>
        <w:t>A</w:t>
      </w:r>
      <w:r w:rsidRPr="00C159CE">
        <w:rPr>
          <w:bCs/>
        </w:rPr>
        <w:t>)   STANOVI SA SPREMIŠTIMA sagrađeni na z.k.č. 77/10, a upisani u zk.ul. 8614, k.o. Stenjevec u slijedeće poduloške:</w:t>
      </w:r>
    </w:p>
    <w:tbl>
      <w:tblPr>
        <w:tblW w:type="dxa" w:w="9499"/>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32"/>
        <w:gridCol w:w="88"/>
        <w:gridCol w:w="5957"/>
        <w:gridCol w:w="1234"/>
        <w:gridCol w:w="1488"/>
      </w:tblGrid>
      <w:tr w:rsidTr="00A23C2B" w:rsidR="00A23C2B" w:rsidRPr="00D71CEE">
        <w:trPr>
          <w:trHeight w:val="506"/>
        </w:trPr>
        <w:tc>
          <w:tcPr>
            <w:tcW w:type="dxa" w:w="820"/>
            <w:gridSpan w:val="2"/>
            <w:shd w:fill="D9D9D9" w:color="000000" w:val="clear"/>
            <w:vAlign w:val="center"/>
            <w:hideMark/>
          </w:tcPr>
          <w:p w:rsidRDefault="00A23C2B" w:rsidP="00AE5F54" w:rsidR="00A23C2B" w:rsidRPr="00D71CEE">
            <w:pPr>
              <w:jc w:val="center"/>
              <w:rPr>
                <w:rFonts w:cs="Arial" w:hAnsi="Arial" w:ascii="Arial"/>
                <w:sz w:val="18"/>
                <w:szCs w:val="18"/>
              </w:rPr>
            </w:pPr>
            <w:r w:rsidRPr="00D71CEE">
              <w:rPr>
                <w:rFonts w:cs="Arial" w:hAnsi="Arial" w:ascii="Arial"/>
                <w:sz w:val="18"/>
                <w:szCs w:val="18"/>
              </w:rPr>
              <w:t>Redni broj</w:t>
            </w:r>
          </w:p>
        </w:tc>
        <w:tc>
          <w:tcPr>
            <w:tcW w:type="dxa" w:w="5957"/>
            <w:shd w:fill="D9D9D9" w:color="000000" w:val="clear"/>
            <w:noWrap/>
            <w:vAlign w:val="center"/>
            <w:hideMark/>
          </w:tcPr>
          <w:p w:rsidRDefault="00A23C2B" w:rsidP="00AE5F54" w:rsidR="00A23C2B" w:rsidRPr="00D71CEE">
            <w:pPr>
              <w:jc w:val="center"/>
              <w:rPr>
                <w:rFonts w:cs="Arial" w:hAnsi="Arial" w:ascii="Arial"/>
                <w:sz w:val="18"/>
                <w:szCs w:val="18"/>
              </w:rPr>
            </w:pPr>
            <w:r w:rsidRPr="00D71CEE">
              <w:rPr>
                <w:rFonts w:cs="Arial" w:hAnsi="Arial" w:ascii="Arial"/>
                <w:sz w:val="18"/>
                <w:szCs w:val="18"/>
              </w:rPr>
              <w:t>Broj poduloška i opis stana</w:t>
            </w:r>
          </w:p>
        </w:tc>
        <w:tc>
          <w:tcPr>
            <w:tcW w:type="dxa" w:w="1234"/>
            <w:shd w:fill="D9D9D9" w:color="000000" w:val="clear"/>
            <w:vAlign w:val="center"/>
            <w:hideMark/>
          </w:tcPr>
          <w:p w:rsidRDefault="00A23C2B" w:rsidP="00AE5F54" w:rsidR="00A23C2B" w:rsidRPr="00D71CEE">
            <w:pPr>
              <w:jc w:val="center"/>
              <w:rPr>
                <w:rFonts w:cs="Arial" w:hAnsi="Arial" w:ascii="Arial"/>
                <w:b/>
                <w:bCs/>
                <w:sz w:val="18"/>
                <w:szCs w:val="18"/>
              </w:rPr>
            </w:pPr>
            <w:r w:rsidRPr="00D71CEE">
              <w:rPr>
                <w:rFonts w:cs="Arial" w:hAnsi="Arial" w:ascii="Arial"/>
                <w:b/>
                <w:bCs/>
                <w:sz w:val="18"/>
                <w:szCs w:val="18"/>
              </w:rPr>
              <w:t>Utvrđena cijena</w:t>
            </w:r>
          </w:p>
        </w:tc>
        <w:tc>
          <w:tcPr>
            <w:tcW w:type="dxa" w:w="1488"/>
            <w:shd w:fill="D9D9D9" w:color="000000" w:val="clear"/>
            <w:vAlign w:val="center"/>
            <w:hideMark/>
          </w:tcPr>
          <w:p w:rsidRDefault="00A23C2B" w:rsidP="00AE5F54" w:rsidR="00A23C2B">
            <w:pPr>
              <w:jc w:val="center"/>
              <w:rPr>
                <w:rFonts w:cs="Arial" w:hAnsi="Arial" w:ascii="Arial"/>
                <w:b/>
                <w:bCs/>
                <w:sz w:val="16"/>
                <w:szCs w:val="16"/>
              </w:rPr>
            </w:pPr>
            <w:r>
              <w:rPr>
                <w:rFonts w:cs="Arial" w:hAnsi="Arial" w:ascii="Arial"/>
                <w:b/>
                <w:bCs/>
                <w:sz w:val="16"/>
                <w:szCs w:val="16"/>
              </w:rPr>
              <w:t>Cijena na IX</w:t>
            </w:r>
            <w:r w:rsidRPr="00D71CEE">
              <w:rPr>
                <w:rFonts w:cs="Arial" w:hAnsi="Arial" w:ascii="Arial"/>
                <w:b/>
                <w:bCs/>
                <w:sz w:val="16"/>
                <w:szCs w:val="16"/>
              </w:rPr>
              <w:t>. javnoj dražbi</w:t>
            </w:r>
          </w:p>
          <w:p w:rsidRDefault="00A23C2B" w:rsidP="00AE5F54" w:rsidR="00A23C2B" w:rsidRPr="00D71CEE">
            <w:pPr>
              <w:jc w:val="center"/>
              <w:rPr>
                <w:rFonts w:cs="Arial" w:hAnsi="Arial" w:ascii="Arial"/>
                <w:b/>
                <w:bCs/>
                <w:sz w:val="16"/>
                <w:szCs w:val="16"/>
              </w:rPr>
            </w:pPr>
            <w:r w:rsidRPr="00D71CEE">
              <w:rPr>
                <w:rFonts w:cs="Arial" w:hAnsi="Arial" w:ascii="Arial"/>
                <w:b/>
                <w:bCs/>
                <w:sz w:val="16"/>
                <w:szCs w:val="16"/>
              </w:rPr>
              <w:t xml:space="preserve"> (-40%)</w:t>
            </w:r>
          </w:p>
        </w:tc>
      </w:tr>
      <w:tr w:rsidTr="00A23C2B" w:rsidR="00A23C2B" w:rsidRPr="00D71CEE">
        <w:trPr>
          <w:trHeight w:val="1205"/>
        </w:trPr>
        <w:tc>
          <w:tcPr>
            <w:tcW w:type="dxa" w:w="732"/>
            <w:shd w:fill="auto" w:color="auto" w:val="clear"/>
            <w:noWrap/>
            <w:vAlign w:val="center"/>
            <w:hideMark/>
          </w:tcPr>
          <w:p w:rsidRDefault="00A23C2B" w:rsidP="00AE5F54" w:rsidR="00A23C2B" w:rsidRPr="00D71CEE">
            <w:pPr>
              <w:jc w:val="center"/>
              <w:rPr>
                <w:rFonts w:cs="Arial" w:hAnsi="Arial" w:ascii="Arial"/>
                <w:sz w:val="18"/>
                <w:szCs w:val="18"/>
              </w:rPr>
            </w:pPr>
            <w:r w:rsidRPr="00D71CEE">
              <w:rPr>
                <w:rFonts w:cs="Arial" w:hAnsi="Arial" w:ascii="Arial"/>
                <w:sz w:val="18"/>
                <w:szCs w:val="18"/>
              </w:rPr>
              <w:t>47</w:t>
            </w:r>
          </w:p>
        </w:tc>
        <w:tc>
          <w:tcPr>
            <w:tcW w:type="dxa" w:w="6045"/>
            <w:gridSpan w:val="2"/>
            <w:shd w:fill="auto" w:color="auto" w:val="clear"/>
            <w:vAlign w:val="center"/>
            <w:hideMark/>
          </w:tcPr>
          <w:p w:rsidRDefault="00A23C2B" w:rsidP="00AE5F54" w:rsidR="00A23C2B" w:rsidRPr="00D71CEE">
            <w:pPr>
              <w:rPr>
                <w:rFonts w:cs="Arial" w:hAnsi="Arial" w:ascii="Arial"/>
                <w:b/>
                <w:bCs/>
                <w:sz w:val="18"/>
                <w:szCs w:val="18"/>
              </w:rPr>
            </w:pPr>
            <w:r w:rsidRPr="00D71CEE">
              <w:rPr>
                <w:rFonts w:cs="Arial" w:hAnsi="Arial" w:ascii="Arial"/>
                <w:b/>
                <w:bCs/>
                <w:sz w:val="18"/>
                <w:szCs w:val="18"/>
              </w:rPr>
              <w:t>Poduložak 124. ETAŽA 54/10000</w:t>
            </w:r>
            <w:r w:rsidRPr="00D71CEE">
              <w:rPr>
                <w:rFonts w:cs="Arial" w:hAnsi="Arial" w:ascii="Arial"/>
                <w:sz w:val="18"/>
                <w:szCs w:val="18"/>
              </w:rPr>
              <w:t xml:space="preserve"> dvosobni stan oznake STAN B4d-3 na III katu neto korisne površine 60,28čm sadržaja: dnevni boravak i blagavaonica, kuhinja, soba, kupaonica, ulaz, loggia, neodvojivo vezan uz spremište oznake sp-Ab-1,9 na podrumskoj etaži -1 neto korisne površine 2,33čm; ukupne površine 62,61čm označeno u planu posebnih dijelova zgrade crvenom bojom</w:t>
            </w:r>
          </w:p>
        </w:tc>
        <w:tc>
          <w:tcPr>
            <w:tcW w:type="dxa" w:w="1234"/>
            <w:shd w:fill="FFFFFF" w:color="000000" w:val="clear"/>
            <w:noWrap/>
            <w:vAlign w:val="center"/>
            <w:hideMark/>
          </w:tcPr>
          <w:p w:rsidRDefault="00A23C2B" w:rsidP="00AE5F54" w:rsidR="00A23C2B" w:rsidRPr="00D71CEE">
            <w:pPr>
              <w:jc w:val="center"/>
              <w:rPr>
                <w:rFonts w:cs="Arial" w:hAnsi="Arial" w:ascii="Arial"/>
                <w:sz w:val="18"/>
                <w:szCs w:val="18"/>
              </w:rPr>
            </w:pPr>
            <w:r w:rsidRPr="00D71CEE">
              <w:rPr>
                <w:rFonts w:cs="Arial" w:hAnsi="Arial" w:ascii="Arial"/>
                <w:sz w:val="18"/>
                <w:szCs w:val="18"/>
              </w:rPr>
              <w:t>717.089,20 kn</w:t>
            </w:r>
          </w:p>
        </w:tc>
        <w:tc>
          <w:tcPr>
            <w:tcW w:type="dxa" w:w="1488"/>
            <w:shd w:fill="auto" w:color="auto" w:val="clear"/>
            <w:noWrap/>
            <w:vAlign w:val="center"/>
            <w:hideMark/>
          </w:tcPr>
          <w:p w:rsidRDefault="00A23C2B" w:rsidP="00AE5F54" w:rsidR="00A23C2B" w:rsidRPr="00D71CEE">
            <w:pPr>
              <w:jc w:val="center"/>
              <w:rPr>
                <w:rFonts w:cs="Arial" w:hAnsi="Arial" w:ascii="Arial"/>
                <w:b/>
                <w:bCs/>
                <w:sz w:val="18"/>
                <w:szCs w:val="18"/>
              </w:rPr>
            </w:pPr>
            <w:r w:rsidRPr="00D71CEE">
              <w:rPr>
                <w:rFonts w:cs="Arial" w:hAnsi="Arial" w:ascii="Arial"/>
                <w:b/>
                <w:bCs/>
                <w:sz w:val="18"/>
                <w:szCs w:val="18"/>
              </w:rPr>
              <w:t>430.253,52 kn</w:t>
            </w:r>
          </w:p>
        </w:tc>
      </w:tr>
    </w:tbl>
    <w:p w:rsidRDefault="0015734A" w:rsidP="00962D2B" w:rsidR="0015734A" w:rsidRPr="00DD5DD8"/>
    <w:p w:rsidRDefault="0015734A" w:rsidP="00962D2B" w:rsidR="0015734A">
      <w:r w:rsidRPr="00DD5DD8">
        <w:tab/>
      </w:r>
      <w:r w:rsidR="00C159CE" w:rsidRPr="00DD5DD8">
        <w:t xml:space="preserve">Na opisanim nekretninama upisano je razlučno pravo </w:t>
      </w:r>
      <w:r w:rsidR="00380199" w:rsidRPr="00DD5DD8">
        <w:t>HETA ASSET RESOLUTION AG</w:t>
      </w:r>
      <w:r w:rsidR="00C159CE" w:rsidRPr="00DD5DD8">
        <w:t xml:space="preserve"> KLAGENFURT.</w:t>
      </w:r>
    </w:p>
    <w:p w:rsidRDefault="00D91376" w:rsidP="00962D2B" w:rsidR="00D91376"/>
    <w:p w:rsidRDefault="00D91376" w:rsidP="00962D2B" w:rsidR="00D91376" w:rsidRPr="00DD5DD8">
      <w:r>
        <w:t>B) PARKIRALIŠNA GARAŽNA MJESTA sagrađeni na z.k.č. 77/10, a upisani u zk.ul. 8614 k.o. Stenjevec u slijedeće poduloške:</w:t>
      </w:r>
    </w:p>
    <w:tbl>
      <w:tblPr>
        <w:tblW w:type="dxa" w:w="9546"/>
        <w:tblLook w:val="04A0" w:noVBand="1" w:noHBand="0" w:lastColumn="0" w:firstColumn="1" w:lastRow="0" w:firstRow="1"/>
      </w:tblPr>
      <w:tblGrid>
        <w:gridCol w:w="687"/>
        <w:gridCol w:w="5864"/>
        <w:gridCol w:w="1479"/>
        <w:gridCol w:w="1516"/>
      </w:tblGrid>
      <w:tr w:rsidTr="00C06133" w:rsidR="00D91376" w:rsidRPr="00DA34F0">
        <w:trPr>
          <w:trHeight w:val="824"/>
        </w:trPr>
        <w:tc>
          <w:tcPr>
            <w:tcW w:type="dxa" w:w="687"/>
            <w:tcBorders>
              <w:top w:val="nil"/>
              <w:left w:space="0" w:sz="4" w:color="auto" w:val="single"/>
              <w:bottom w:space="0" w:sz="4" w:color="auto" w:val="single"/>
              <w:right w:space="0" w:sz="4" w:color="auto" w:val="single"/>
            </w:tcBorders>
            <w:shd w:fill="D9D9D9" w:color="000000" w:val="clear"/>
            <w:vAlign w:val="center"/>
            <w:hideMark/>
          </w:tcPr>
          <w:p w:rsidRDefault="00D91376" w:rsidP="00C06133" w:rsidR="00D91376" w:rsidRPr="00DA34F0">
            <w:pPr>
              <w:jc w:val="center"/>
              <w:rPr>
                <w:rFonts w:cs="Arial" w:hAnsi="Arial" w:ascii="Arial"/>
                <w:sz w:val="18"/>
                <w:szCs w:val="18"/>
              </w:rPr>
            </w:pPr>
            <w:r w:rsidRPr="00DA34F0">
              <w:rPr>
                <w:rFonts w:cs="Arial" w:hAnsi="Arial" w:ascii="Arial"/>
                <w:sz w:val="18"/>
                <w:szCs w:val="18"/>
              </w:rPr>
              <w:t>Redni broj</w:t>
            </w:r>
          </w:p>
        </w:tc>
        <w:tc>
          <w:tcPr>
            <w:tcW w:type="dxa" w:w="5864"/>
            <w:tcBorders>
              <w:top w:val="nil"/>
              <w:left w:val="nil"/>
              <w:bottom w:space="0" w:sz="4" w:color="auto" w:val="single"/>
              <w:right w:space="0" w:sz="4" w:color="auto" w:val="single"/>
            </w:tcBorders>
            <w:shd w:fill="D9D9D9" w:color="000000" w:val="clear"/>
            <w:noWrap/>
            <w:vAlign w:val="center"/>
            <w:hideMark/>
          </w:tcPr>
          <w:p w:rsidRDefault="00D91376" w:rsidP="00C06133" w:rsidR="00D91376" w:rsidRPr="00DA34F0">
            <w:pPr>
              <w:jc w:val="center"/>
              <w:rPr>
                <w:rFonts w:cs="Arial" w:hAnsi="Arial" w:ascii="Arial"/>
                <w:sz w:val="18"/>
                <w:szCs w:val="18"/>
              </w:rPr>
            </w:pPr>
            <w:r w:rsidRPr="00DA34F0">
              <w:rPr>
                <w:rFonts w:cs="Arial" w:hAnsi="Arial" w:ascii="Arial"/>
                <w:sz w:val="18"/>
                <w:szCs w:val="18"/>
              </w:rPr>
              <w:t>Broj poduloška i opis parkirališno garažnog mjesta</w:t>
            </w:r>
          </w:p>
        </w:tc>
        <w:tc>
          <w:tcPr>
            <w:tcW w:type="dxa" w:w="1479"/>
            <w:tcBorders>
              <w:top w:val="nil"/>
              <w:left w:val="nil"/>
              <w:bottom w:space="0" w:sz="4" w:color="auto" w:val="single"/>
              <w:right w:space="0" w:sz="4" w:color="auto" w:val="single"/>
            </w:tcBorders>
            <w:shd w:fill="D9D9D9" w:color="000000" w:val="clear"/>
            <w:noWrap/>
            <w:vAlign w:val="center"/>
            <w:hideMark/>
          </w:tcPr>
          <w:p w:rsidRDefault="00D91376" w:rsidP="00C06133" w:rsidR="00D91376" w:rsidRPr="00DA34F0">
            <w:pPr>
              <w:jc w:val="center"/>
              <w:rPr>
                <w:rFonts w:cs="Arial" w:hAnsi="Arial" w:ascii="Arial"/>
                <w:sz w:val="16"/>
                <w:szCs w:val="16"/>
              </w:rPr>
            </w:pPr>
            <w:r w:rsidRPr="00DA34F0">
              <w:rPr>
                <w:rFonts w:cs="Arial" w:hAnsi="Arial" w:ascii="Arial"/>
                <w:sz w:val="16"/>
                <w:szCs w:val="16"/>
              </w:rPr>
              <w:t>Utvrđena cijena</w:t>
            </w:r>
          </w:p>
        </w:tc>
        <w:tc>
          <w:tcPr>
            <w:tcW w:type="dxa" w:w="1516"/>
            <w:tcBorders>
              <w:top w:val="nil"/>
              <w:left w:val="nil"/>
              <w:bottom w:space="0" w:sz="4" w:color="auto" w:val="single"/>
              <w:right w:space="0" w:sz="4" w:color="auto" w:val="single"/>
            </w:tcBorders>
            <w:shd w:fill="D9D9D9" w:color="000000" w:val="clear"/>
            <w:vAlign w:val="center"/>
            <w:hideMark/>
          </w:tcPr>
          <w:p w:rsidRDefault="00D91376" w:rsidP="00C06133" w:rsidR="00D91376">
            <w:pPr>
              <w:jc w:val="center"/>
              <w:rPr>
                <w:rFonts w:cs="Arial" w:hAnsi="Arial" w:ascii="Arial"/>
                <w:b/>
                <w:bCs/>
                <w:sz w:val="16"/>
                <w:szCs w:val="16"/>
              </w:rPr>
            </w:pPr>
            <w:r w:rsidRPr="00DA34F0">
              <w:rPr>
                <w:rFonts w:cs="Arial" w:hAnsi="Arial" w:ascii="Arial"/>
                <w:b/>
                <w:bCs/>
                <w:sz w:val="16"/>
                <w:szCs w:val="16"/>
              </w:rPr>
              <w:t xml:space="preserve">Cijena na IX. javnoj dražbi </w:t>
            </w:r>
          </w:p>
          <w:p w:rsidRDefault="00D91376" w:rsidP="00C06133" w:rsidR="00D91376" w:rsidRPr="00DA34F0">
            <w:pPr>
              <w:jc w:val="center"/>
              <w:rPr>
                <w:rFonts w:cs="Arial" w:hAnsi="Arial" w:ascii="Arial"/>
                <w:b/>
                <w:bCs/>
                <w:sz w:val="16"/>
                <w:szCs w:val="16"/>
              </w:rPr>
            </w:pPr>
            <w:r w:rsidRPr="00DA34F0">
              <w:rPr>
                <w:rFonts w:cs="Arial" w:hAnsi="Arial" w:ascii="Arial"/>
                <w:b/>
                <w:bCs/>
                <w:sz w:val="16"/>
                <w:szCs w:val="16"/>
              </w:rPr>
              <w:t xml:space="preserve"> (-80%)</w:t>
            </w:r>
          </w:p>
        </w:tc>
      </w:tr>
      <w:tr w:rsidTr="00C06133" w:rsidR="00D91376" w:rsidRPr="00DA34F0">
        <w:trPr>
          <w:trHeight w:val="662"/>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sz w:val="16"/>
                <w:szCs w:val="16"/>
              </w:rPr>
            </w:pPr>
            <w:r>
              <w:rPr>
                <w:rFonts w:cs="Arial" w:hAnsi="Arial" w:ascii="Arial"/>
                <w:sz w:val="16"/>
                <w:szCs w:val="16"/>
              </w:rPr>
              <w:t>1</w:t>
            </w:r>
          </w:p>
        </w:tc>
        <w:tc>
          <w:tcPr>
            <w:tcW w:type="dxa" w:w="5864"/>
            <w:tcBorders>
              <w:top w:val="nil"/>
              <w:left w:val="nil"/>
              <w:bottom w:space="0" w:sz="4" w:color="auto" w:val="single"/>
              <w:right w:space="0" w:sz="4" w:color="auto" w:val="single"/>
            </w:tcBorders>
            <w:shd w:fill="auto" w:color="auto" w:val="clear"/>
            <w:vAlign w:val="center"/>
            <w:hideMark/>
          </w:tcPr>
          <w:p w:rsidRDefault="00D91376" w:rsidP="00C06133" w:rsidR="00D91376" w:rsidRPr="00DA34F0">
            <w:pPr>
              <w:rPr>
                <w:rFonts w:cs="Arial" w:hAnsi="Arial" w:ascii="Arial"/>
                <w:b/>
                <w:bCs/>
                <w:sz w:val="16"/>
                <w:szCs w:val="16"/>
              </w:rPr>
            </w:pPr>
            <w:r w:rsidRPr="00DA34F0">
              <w:rPr>
                <w:rFonts w:cs="Arial" w:hAnsi="Arial" w:ascii="Arial"/>
                <w:b/>
                <w:bCs/>
                <w:sz w:val="16"/>
                <w:szCs w:val="16"/>
              </w:rPr>
              <w:t>Poduložak 186. ETAŽA 5/10000</w:t>
            </w:r>
            <w:r w:rsidRPr="00DA34F0">
              <w:rPr>
                <w:rFonts w:cs="Arial" w:hAnsi="Arial" w:ascii="Arial"/>
                <w:sz w:val="16"/>
                <w:szCs w:val="16"/>
              </w:rPr>
              <w:t xml:space="preserve"> parkirno garažno mjesto oznake PGM-2.15 u podrumskoj etaži -2; neto korisne površine 6,13čm označeno u planu posebnih dijelova zgrade crvenom bojom</w:t>
            </w:r>
          </w:p>
        </w:tc>
        <w:tc>
          <w:tcPr>
            <w:tcW w:type="dxa" w:w="1479"/>
            <w:tcBorders>
              <w:top w:val="nil"/>
              <w:left w:val="nil"/>
              <w:bottom w:space="0" w:sz="4" w:color="auto" w:val="single"/>
              <w:right w:space="0" w:sz="4" w:color="auto" w:val="single"/>
            </w:tcBorders>
            <w:shd w:fill="FFFFFF" w:color="000000" w:val="clear"/>
            <w:noWrap/>
            <w:vAlign w:val="center"/>
            <w:hideMark/>
          </w:tcPr>
          <w:p w:rsidRDefault="00D91376" w:rsidP="00C06133" w:rsidR="00D91376" w:rsidRPr="00DA34F0">
            <w:pPr>
              <w:jc w:val="center"/>
              <w:rPr>
                <w:rFonts w:cs="Arial" w:hAnsi="Arial" w:ascii="Arial"/>
                <w:sz w:val="16"/>
                <w:szCs w:val="16"/>
              </w:rPr>
            </w:pPr>
            <w:r w:rsidRPr="00DA34F0">
              <w:rPr>
                <w:rFonts w:cs="Arial" w:hAnsi="Arial" w:ascii="Arial"/>
                <w:sz w:val="16"/>
                <w:szCs w:val="16"/>
              </w:rPr>
              <w:t>59.195,18 kn</w:t>
            </w:r>
          </w:p>
        </w:tc>
        <w:tc>
          <w:tcPr>
            <w:tcW w:type="dxa" w:w="1516"/>
            <w:tcBorders>
              <w:top w:val="nil"/>
              <w:left w:val="nil"/>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b/>
                <w:bCs/>
                <w:sz w:val="18"/>
                <w:szCs w:val="18"/>
              </w:rPr>
            </w:pPr>
            <w:r w:rsidRPr="00DA34F0">
              <w:rPr>
                <w:rFonts w:cs="Arial" w:hAnsi="Arial" w:ascii="Arial"/>
                <w:b/>
                <w:bCs/>
                <w:sz w:val="18"/>
                <w:szCs w:val="18"/>
              </w:rPr>
              <w:t>11.839,04 kn</w:t>
            </w:r>
          </w:p>
        </w:tc>
      </w:tr>
      <w:tr w:rsidTr="00C06133" w:rsidR="00D91376" w:rsidRPr="00DA34F0">
        <w:trPr>
          <w:trHeight w:val="662"/>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sz w:val="16"/>
                <w:szCs w:val="16"/>
              </w:rPr>
            </w:pPr>
            <w:r>
              <w:rPr>
                <w:rFonts w:cs="Arial" w:hAnsi="Arial" w:ascii="Arial"/>
                <w:sz w:val="16"/>
                <w:szCs w:val="16"/>
              </w:rPr>
              <w:t>2</w:t>
            </w:r>
          </w:p>
        </w:tc>
        <w:tc>
          <w:tcPr>
            <w:tcW w:type="dxa" w:w="5864"/>
            <w:tcBorders>
              <w:top w:val="nil"/>
              <w:left w:val="nil"/>
              <w:bottom w:space="0" w:sz="4" w:color="auto" w:val="single"/>
              <w:right w:space="0" w:sz="4" w:color="auto" w:val="single"/>
            </w:tcBorders>
            <w:shd w:fill="auto" w:color="auto" w:val="clear"/>
            <w:vAlign w:val="center"/>
            <w:hideMark/>
          </w:tcPr>
          <w:p w:rsidRDefault="00D91376" w:rsidP="00C06133" w:rsidR="00D91376" w:rsidRPr="00DA34F0">
            <w:pPr>
              <w:rPr>
                <w:rFonts w:cs="Arial" w:hAnsi="Arial" w:ascii="Arial"/>
                <w:b/>
                <w:bCs/>
                <w:sz w:val="16"/>
                <w:szCs w:val="16"/>
              </w:rPr>
            </w:pPr>
            <w:r w:rsidRPr="00DA34F0">
              <w:rPr>
                <w:rFonts w:cs="Arial" w:hAnsi="Arial" w:ascii="Arial"/>
                <w:b/>
                <w:bCs/>
                <w:sz w:val="16"/>
                <w:szCs w:val="16"/>
              </w:rPr>
              <w:t>Poduložak 187. ETAŽA 5/10000</w:t>
            </w:r>
            <w:r w:rsidRPr="00DA34F0">
              <w:rPr>
                <w:rFonts w:cs="Arial" w:hAnsi="Arial" w:ascii="Arial"/>
                <w:sz w:val="16"/>
                <w:szCs w:val="16"/>
              </w:rPr>
              <w:t xml:space="preserve"> parkirno garažno mjesto oznake PGM-2.16 u podrumskoj etaži -2; neto korisne površine 6,17čm označeno u planu posebnih dijelova zgrade ljubičastom bojom</w:t>
            </w:r>
          </w:p>
        </w:tc>
        <w:tc>
          <w:tcPr>
            <w:tcW w:type="dxa" w:w="1479"/>
            <w:tcBorders>
              <w:top w:val="nil"/>
              <w:left w:val="nil"/>
              <w:bottom w:space="0" w:sz="4" w:color="auto" w:val="single"/>
              <w:right w:space="0" w:sz="4" w:color="auto" w:val="single"/>
            </w:tcBorders>
            <w:shd w:fill="FFFFFF" w:color="000000" w:val="clear"/>
            <w:noWrap/>
            <w:vAlign w:val="center"/>
            <w:hideMark/>
          </w:tcPr>
          <w:p w:rsidRDefault="00D91376" w:rsidP="00C06133" w:rsidR="00D91376" w:rsidRPr="00DA34F0">
            <w:pPr>
              <w:jc w:val="center"/>
              <w:rPr>
                <w:rFonts w:cs="Arial" w:hAnsi="Arial" w:ascii="Arial"/>
                <w:sz w:val="16"/>
                <w:szCs w:val="16"/>
              </w:rPr>
            </w:pPr>
            <w:r w:rsidRPr="00DA34F0">
              <w:rPr>
                <w:rFonts w:cs="Arial" w:hAnsi="Arial" w:ascii="Arial"/>
                <w:sz w:val="16"/>
                <w:szCs w:val="16"/>
              </w:rPr>
              <w:t>59.565,13 kn</w:t>
            </w:r>
          </w:p>
        </w:tc>
        <w:tc>
          <w:tcPr>
            <w:tcW w:type="dxa" w:w="1516"/>
            <w:tcBorders>
              <w:top w:val="nil"/>
              <w:left w:val="nil"/>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b/>
                <w:bCs/>
                <w:sz w:val="18"/>
                <w:szCs w:val="18"/>
              </w:rPr>
            </w:pPr>
            <w:r w:rsidRPr="00DA34F0">
              <w:rPr>
                <w:rFonts w:cs="Arial" w:hAnsi="Arial" w:ascii="Arial"/>
                <w:b/>
                <w:bCs/>
                <w:sz w:val="18"/>
                <w:szCs w:val="18"/>
              </w:rPr>
              <w:t>11.913,03 kn</w:t>
            </w:r>
          </w:p>
        </w:tc>
      </w:tr>
      <w:tr w:rsidTr="00C06133" w:rsidR="00D91376" w:rsidRPr="00DA34F0">
        <w:trPr>
          <w:trHeight w:val="662"/>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sz w:val="16"/>
                <w:szCs w:val="16"/>
              </w:rPr>
            </w:pPr>
            <w:r>
              <w:rPr>
                <w:rFonts w:cs="Arial" w:hAnsi="Arial" w:ascii="Arial"/>
                <w:sz w:val="16"/>
                <w:szCs w:val="16"/>
              </w:rPr>
              <w:t>3</w:t>
            </w:r>
          </w:p>
        </w:tc>
        <w:tc>
          <w:tcPr>
            <w:tcW w:type="dxa" w:w="5864"/>
            <w:tcBorders>
              <w:top w:val="nil"/>
              <w:left w:val="nil"/>
              <w:bottom w:space="0" w:sz="4" w:color="auto" w:val="single"/>
              <w:right w:space="0" w:sz="4" w:color="auto" w:val="single"/>
            </w:tcBorders>
            <w:shd w:fill="auto" w:color="auto" w:val="clear"/>
            <w:vAlign w:val="center"/>
            <w:hideMark/>
          </w:tcPr>
          <w:p w:rsidRDefault="00D91376" w:rsidP="00C06133" w:rsidR="00D91376" w:rsidRPr="00DA34F0">
            <w:pPr>
              <w:rPr>
                <w:rFonts w:cs="Arial" w:hAnsi="Arial" w:ascii="Arial"/>
                <w:b/>
                <w:bCs/>
                <w:sz w:val="16"/>
                <w:szCs w:val="16"/>
              </w:rPr>
            </w:pPr>
            <w:r w:rsidRPr="00DA34F0">
              <w:rPr>
                <w:rFonts w:cs="Arial" w:hAnsi="Arial" w:ascii="Arial"/>
                <w:b/>
                <w:bCs/>
                <w:sz w:val="16"/>
                <w:szCs w:val="16"/>
              </w:rPr>
              <w:t>Poduložak 228. ETAŽA 5/10000</w:t>
            </w:r>
            <w:r w:rsidRPr="00DA34F0">
              <w:rPr>
                <w:rFonts w:cs="Arial" w:hAnsi="Arial" w:ascii="Arial"/>
                <w:sz w:val="16"/>
                <w:szCs w:val="16"/>
              </w:rPr>
              <w:t xml:space="preserve"> parkirno garažno mjesto oznake PGM-2.57 u podrumskoj etaži -2; neto korisne površine 6,13čm označeno u planu posebnih dijelova zgrade tamno plavom bojom</w:t>
            </w:r>
          </w:p>
        </w:tc>
        <w:tc>
          <w:tcPr>
            <w:tcW w:type="dxa" w:w="1479"/>
            <w:tcBorders>
              <w:top w:val="nil"/>
              <w:left w:val="nil"/>
              <w:bottom w:space="0" w:sz="4" w:color="auto" w:val="single"/>
              <w:right w:space="0" w:sz="4" w:color="auto" w:val="single"/>
            </w:tcBorders>
            <w:shd w:fill="FFFFFF" w:color="000000" w:val="clear"/>
            <w:noWrap/>
            <w:vAlign w:val="center"/>
            <w:hideMark/>
          </w:tcPr>
          <w:p w:rsidRDefault="00D91376" w:rsidP="00C06133" w:rsidR="00D91376" w:rsidRPr="00DA34F0">
            <w:pPr>
              <w:jc w:val="center"/>
              <w:rPr>
                <w:rFonts w:cs="Arial" w:hAnsi="Arial" w:ascii="Arial"/>
                <w:sz w:val="16"/>
                <w:szCs w:val="16"/>
              </w:rPr>
            </w:pPr>
            <w:r w:rsidRPr="00DA34F0">
              <w:rPr>
                <w:rFonts w:cs="Arial" w:hAnsi="Arial" w:ascii="Arial"/>
                <w:sz w:val="16"/>
                <w:szCs w:val="16"/>
              </w:rPr>
              <w:t>59.195,18 kn</w:t>
            </w:r>
          </w:p>
        </w:tc>
        <w:tc>
          <w:tcPr>
            <w:tcW w:type="dxa" w:w="1516"/>
            <w:tcBorders>
              <w:top w:val="nil"/>
              <w:left w:val="nil"/>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b/>
                <w:bCs/>
                <w:sz w:val="18"/>
                <w:szCs w:val="18"/>
              </w:rPr>
            </w:pPr>
            <w:r w:rsidRPr="00DA34F0">
              <w:rPr>
                <w:rFonts w:cs="Arial" w:hAnsi="Arial" w:ascii="Arial"/>
                <w:b/>
                <w:bCs/>
                <w:sz w:val="18"/>
                <w:szCs w:val="18"/>
              </w:rPr>
              <w:t>11.839,04 kn</w:t>
            </w:r>
          </w:p>
        </w:tc>
      </w:tr>
      <w:tr w:rsidTr="00C06133" w:rsidR="00D91376" w:rsidRPr="00DA34F0">
        <w:trPr>
          <w:trHeight w:val="662"/>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sz w:val="16"/>
                <w:szCs w:val="16"/>
              </w:rPr>
            </w:pPr>
            <w:r>
              <w:rPr>
                <w:rFonts w:cs="Arial" w:hAnsi="Arial" w:ascii="Arial"/>
                <w:sz w:val="16"/>
                <w:szCs w:val="16"/>
              </w:rPr>
              <w:lastRenderedPageBreak/>
              <w:t>4</w:t>
            </w:r>
          </w:p>
        </w:tc>
        <w:tc>
          <w:tcPr>
            <w:tcW w:type="dxa" w:w="5864"/>
            <w:tcBorders>
              <w:top w:val="nil"/>
              <w:left w:val="nil"/>
              <w:bottom w:space="0" w:sz="4" w:color="auto" w:val="single"/>
              <w:right w:space="0" w:sz="4" w:color="auto" w:val="single"/>
            </w:tcBorders>
            <w:shd w:fill="auto" w:color="auto" w:val="clear"/>
            <w:vAlign w:val="center"/>
            <w:hideMark/>
          </w:tcPr>
          <w:p w:rsidRDefault="00D91376" w:rsidP="00C06133" w:rsidR="00D91376" w:rsidRPr="00DA34F0">
            <w:pPr>
              <w:rPr>
                <w:rFonts w:cs="Arial" w:hAnsi="Arial" w:ascii="Arial"/>
                <w:b/>
                <w:bCs/>
                <w:sz w:val="16"/>
                <w:szCs w:val="16"/>
              </w:rPr>
            </w:pPr>
            <w:r w:rsidRPr="00DA34F0">
              <w:rPr>
                <w:rFonts w:cs="Arial" w:hAnsi="Arial" w:ascii="Arial"/>
                <w:b/>
                <w:bCs/>
                <w:sz w:val="16"/>
                <w:szCs w:val="16"/>
              </w:rPr>
              <w:t>Poduložak 229. ETAŽA 5/10000</w:t>
            </w:r>
            <w:r w:rsidRPr="00DA34F0">
              <w:rPr>
                <w:rFonts w:cs="Arial" w:hAnsi="Arial" w:ascii="Arial"/>
                <w:sz w:val="16"/>
                <w:szCs w:val="16"/>
              </w:rPr>
              <w:t xml:space="preserve"> parkirno garažno mjesto oznake PGM-2.58 u podrumskoj etaži -2; neto korisne površine 6,17čm označeno u planu posebnih dijelova zgrade svijetlo plavom bojom</w:t>
            </w:r>
          </w:p>
        </w:tc>
        <w:tc>
          <w:tcPr>
            <w:tcW w:type="dxa" w:w="1479"/>
            <w:tcBorders>
              <w:top w:val="nil"/>
              <w:left w:val="nil"/>
              <w:bottom w:space="0" w:sz="4" w:color="auto" w:val="single"/>
              <w:right w:space="0" w:sz="4" w:color="auto" w:val="single"/>
            </w:tcBorders>
            <w:shd w:fill="FFFFFF" w:color="000000" w:val="clear"/>
            <w:noWrap/>
            <w:vAlign w:val="center"/>
            <w:hideMark/>
          </w:tcPr>
          <w:p w:rsidRDefault="00D91376" w:rsidP="00C06133" w:rsidR="00D91376" w:rsidRPr="00DA34F0">
            <w:pPr>
              <w:jc w:val="center"/>
              <w:rPr>
                <w:rFonts w:cs="Arial" w:hAnsi="Arial" w:ascii="Arial"/>
                <w:sz w:val="16"/>
                <w:szCs w:val="16"/>
              </w:rPr>
            </w:pPr>
            <w:r w:rsidRPr="00DA34F0">
              <w:rPr>
                <w:rFonts w:cs="Arial" w:hAnsi="Arial" w:ascii="Arial"/>
                <w:sz w:val="16"/>
                <w:szCs w:val="16"/>
              </w:rPr>
              <w:t>59.565,13 kn</w:t>
            </w:r>
          </w:p>
        </w:tc>
        <w:tc>
          <w:tcPr>
            <w:tcW w:type="dxa" w:w="1516"/>
            <w:tcBorders>
              <w:top w:val="nil"/>
              <w:left w:val="nil"/>
              <w:bottom w:space="0" w:sz="4" w:color="auto" w:val="single"/>
              <w:right w:space="0" w:sz="4" w:color="auto" w:val="single"/>
            </w:tcBorders>
            <w:shd w:fill="auto" w:color="auto" w:val="clear"/>
            <w:noWrap/>
            <w:vAlign w:val="center"/>
            <w:hideMark/>
          </w:tcPr>
          <w:p w:rsidRDefault="00D91376" w:rsidP="00C06133" w:rsidR="00D91376" w:rsidRPr="00DA34F0">
            <w:pPr>
              <w:jc w:val="center"/>
              <w:rPr>
                <w:rFonts w:cs="Arial" w:hAnsi="Arial" w:ascii="Arial"/>
                <w:b/>
                <w:bCs/>
                <w:sz w:val="18"/>
                <w:szCs w:val="18"/>
              </w:rPr>
            </w:pPr>
            <w:r w:rsidRPr="00DA34F0">
              <w:rPr>
                <w:rFonts w:cs="Arial" w:hAnsi="Arial" w:ascii="Arial"/>
                <w:b/>
                <w:bCs/>
                <w:sz w:val="18"/>
                <w:szCs w:val="18"/>
              </w:rPr>
              <w:t>11.913,03 kn</w:t>
            </w:r>
          </w:p>
        </w:tc>
      </w:tr>
    </w:tbl>
    <w:p w:rsidRDefault="00D91376" w:rsidP="00962D2B" w:rsidR="00D91376" w:rsidRPr="00DD5DD8"/>
    <w:p w:rsidRDefault="00D91376" w:rsidP="00962D2B" w:rsidR="00FF48FF">
      <w:r>
        <w:tab/>
      </w:r>
      <w:r w:rsidRPr="00DD5DD8">
        <w:t>Na opisanim nekretninama upisano je razlučno pravo HETA ASSET RESOLUTION AG KLAGENFURT.</w:t>
      </w:r>
    </w:p>
    <w:p w:rsidRDefault="00D91376" w:rsidP="00962D2B" w:rsidR="00D91376" w:rsidRPr="00DD5DD8"/>
    <w:p w:rsidRDefault="00D91376" w:rsidP="00D04202" w:rsidR="002857A3">
      <w:pPr>
        <w:ind w:firstLine="708"/>
      </w:pPr>
      <w:r>
        <w:rPr>
          <w:bCs/>
        </w:rPr>
        <w:t>III</w:t>
      </w:r>
      <w:r w:rsidR="008001FD" w:rsidRPr="00DD5DD8">
        <w:t xml:space="preserve">  </w:t>
      </w:r>
      <w:r w:rsidR="00273268" w:rsidRPr="00DD5DD8">
        <w:tab/>
      </w:r>
      <w:r w:rsidR="002857A3" w:rsidRPr="00DD5DD8">
        <w:t>Utvrđ</w:t>
      </w:r>
      <w:r w:rsidR="00962D2B" w:rsidRPr="00DD5DD8">
        <w:t>ena vrijednost nekretnina</w:t>
      </w:r>
      <w:r w:rsidR="00D14598" w:rsidRPr="00DD5DD8">
        <w:t xml:space="preserve"> pod I</w:t>
      </w:r>
      <w:r w:rsidR="00525C69">
        <w:t>I</w:t>
      </w:r>
      <w:r w:rsidR="00F46CEB">
        <w:t xml:space="preserve"> </w:t>
      </w:r>
      <w:r w:rsidR="00D14598" w:rsidRPr="00DD5DD8">
        <w:t xml:space="preserve"> navedena </w:t>
      </w:r>
      <w:r w:rsidR="00DD5DD8" w:rsidRPr="00DD5DD8">
        <w:t xml:space="preserve">je </w:t>
      </w:r>
      <w:r w:rsidR="00D14598" w:rsidRPr="00DD5DD8">
        <w:t>za svaki poduložak pod točkom I</w:t>
      </w:r>
      <w:r w:rsidR="002236FD">
        <w:t>I</w:t>
      </w:r>
      <w:r w:rsidR="00D14598" w:rsidRPr="00DD5DD8">
        <w:t>.</w:t>
      </w:r>
    </w:p>
    <w:p w:rsidRDefault="00993FA3" w:rsidP="00993FA3" w:rsidR="00993FA3" w:rsidRPr="00DD5DD8"/>
    <w:p w:rsidRDefault="003E5BDA" w:rsidP="003E5BDA" w:rsidR="003E5BDA" w:rsidRPr="00DD5DD8">
      <w:r w:rsidRPr="00DD5DD8">
        <w:tab/>
      </w:r>
      <w:r w:rsidR="00D91376">
        <w:t>I</w:t>
      </w:r>
      <w:r w:rsidR="00D91376">
        <w:rPr>
          <w:bCs/>
        </w:rPr>
        <w:t>V</w:t>
      </w:r>
      <w:r w:rsidRPr="00DD5DD8">
        <w:t xml:space="preserve"> </w:t>
      </w:r>
      <w:r w:rsidRPr="00DD5DD8">
        <w:tab/>
        <w:t xml:space="preserve">Način prodaje: </w:t>
      </w:r>
    </w:p>
    <w:p w:rsidRDefault="003E5BDA" w:rsidP="00402700" w:rsidR="003E5BDA" w:rsidRPr="00DD5DD8">
      <w:pPr>
        <w:ind w:firstLine="708" w:left="708"/>
        <w:jc w:val="both"/>
      </w:pPr>
      <w:r w:rsidRPr="00DD5DD8">
        <w:t>Nekretnine iz točke I</w:t>
      </w:r>
      <w:r w:rsidR="00D91376">
        <w:t>I</w:t>
      </w:r>
      <w:r w:rsidR="00F46CEB">
        <w:t xml:space="preserve"> A) i B)</w:t>
      </w:r>
      <w:r w:rsidRPr="00DD5DD8">
        <w:t xml:space="preserve"> zaključka prodat će se usmenom javnom dražbom. </w:t>
      </w:r>
    </w:p>
    <w:p w:rsidRDefault="003E5BDA" w:rsidP="00402700" w:rsidR="003E5BDA" w:rsidRPr="00DD5DD8">
      <w:pPr>
        <w:jc w:val="both"/>
      </w:pPr>
      <w:r w:rsidRPr="00DD5DD8">
        <w:rPr>
          <w:bCs/>
        </w:rPr>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D91376">
        <w:t>89</w:t>
      </w:r>
      <w:r w:rsidR="00993FA3">
        <w:t>/II</w:t>
      </w:r>
      <w:r w:rsidRPr="00DD5DD8">
        <w:t xml:space="preserve"> (</w:t>
      </w:r>
      <w:r w:rsidR="00993FA3">
        <w:t>UZ</w:t>
      </w:r>
      <w:r w:rsidRPr="00DD5DD8">
        <w:t xml:space="preserve">) dana </w:t>
      </w:r>
      <w:r w:rsidR="00EF4384">
        <w:t>1. travnja 2016.</w:t>
      </w:r>
      <w:r w:rsidR="00015395" w:rsidRPr="00DD5DD8">
        <w:t xml:space="preserve"> </w:t>
      </w:r>
      <w:r w:rsidR="007053D2" w:rsidRPr="00DD5DD8">
        <w:t xml:space="preserve"> </w:t>
      </w:r>
      <w:r w:rsidR="00314534" w:rsidRPr="00DD5DD8">
        <w:t xml:space="preserve">u </w:t>
      </w:r>
      <w:r w:rsidR="00EF4384">
        <w:t>10</w:t>
      </w:r>
      <w:r w:rsidR="00993FA3">
        <w:t>,3</w:t>
      </w:r>
      <w:r w:rsidR="007527CE" w:rsidRPr="00DD5DD8">
        <w:t>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D91376" w:rsidP="00402700" w:rsidR="003E5BDA" w:rsidRPr="00DD5DD8">
      <w:pPr>
        <w:jc w:val="both"/>
      </w:pPr>
      <w:r>
        <w:tab/>
        <w:t>V</w:t>
      </w:r>
      <w:r w:rsidR="003E5BDA" w:rsidRPr="00DD5DD8">
        <w:t xml:space="preserve"> </w:t>
      </w:r>
      <w:r w:rsidR="003E5BDA" w:rsidRPr="00DD5DD8">
        <w:tab/>
        <w:t xml:space="preserve">Ovaj zaključak objavit će se na 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D91376" w:rsidP="00402700" w:rsidR="003E5BDA" w:rsidRPr="00DD5DD8">
      <w:pPr>
        <w:ind w:firstLine="708"/>
        <w:jc w:val="both"/>
      </w:pPr>
      <w:r>
        <w:rPr>
          <w:bCs/>
        </w:rPr>
        <w:t>VI</w:t>
      </w:r>
      <w:r w:rsidR="003E5BDA" w:rsidRPr="00DD5DD8">
        <w:rPr>
          <w:bCs/>
        </w:rPr>
        <w:tab/>
        <w:t>Uvjeti prodaje</w:t>
      </w:r>
      <w:r w:rsidR="003E5BDA" w:rsidRPr="00DD5DD8">
        <w:t xml:space="preserve">: </w:t>
      </w:r>
    </w:p>
    <w:p w:rsidRDefault="003E5BDA" w:rsidP="00D91376" w:rsidR="007053D2" w:rsidRPr="00DD5DD8">
      <w:pPr>
        <w:jc w:val="both"/>
      </w:pPr>
      <w:r w:rsidRPr="00DD5DD8">
        <w:t xml:space="preserve">1. </w:t>
      </w:r>
      <w:r w:rsidRPr="00DD5DD8">
        <w:tab/>
      </w:r>
      <w:r w:rsidR="00D91376">
        <w:tab/>
      </w:r>
      <w:r w:rsidRPr="00DD5DD8">
        <w:t>Prodaju se nekretnine navedene u točki I</w:t>
      </w:r>
      <w:r w:rsidR="00D91376">
        <w:t>I</w:t>
      </w:r>
      <w:r w:rsidRPr="00DD5DD8">
        <w:t xml:space="preserve"> ovog Zaključka </w:t>
      </w:r>
      <w:r w:rsidR="00015395" w:rsidRPr="00DD5DD8">
        <w:t>.</w:t>
      </w:r>
    </w:p>
    <w:p w:rsidRDefault="003E5BDA" w:rsidP="00D91376" w:rsidR="008160E0" w:rsidRPr="00DD5DD8">
      <w:r w:rsidRPr="00DD5DD8">
        <w:t xml:space="preserve">2. </w:t>
      </w:r>
      <w:r w:rsidRPr="00DD5DD8">
        <w:tab/>
      </w:r>
      <w:r w:rsidR="00D91376">
        <w:tab/>
      </w:r>
      <w:r w:rsidRPr="00DD5DD8">
        <w:t>Vrijednost nekr</w:t>
      </w:r>
      <w:r w:rsidR="002857A3" w:rsidRPr="00DD5DD8">
        <w:t>etnine</w:t>
      </w:r>
      <w:r w:rsidRPr="00DD5DD8">
        <w:t xml:space="preserve"> </w:t>
      </w:r>
      <w:r w:rsidR="008F6EC1">
        <w:t>pod I</w:t>
      </w:r>
      <w:r w:rsidR="00D91376">
        <w:t>I</w:t>
      </w:r>
      <w:r w:rsidR="009F421D" w:rsidRPr="00DD5DD8">
        <w:t xml:space="preserve"> navedena</w:t>
      </w:r>
      <w:r w:rsidR="008F6EC1">
        <w:t xml:space="preserve"> </w:t>
      </w:r>
      <w:r w:rsidR="008F6EC1" w:rsidRPr="00DD5DD8">
        <w:t>je</w:t>
      </w:r>
      <w:r w:rsidR="009F421D" w:rsidRPr="00DD5DD8">
        <w:t xml:space="preserve"> za svaki poduložak pod točkom I</w:t>
      </w:r>
      <w:r w:rsidR="00D91376">
        <w:t>I</w:t>
      </w:r>
      <w:r w:rsidR="009F421D" w:rsidRPr="00DD5DD8">
        <w:t>.</w:t>
      </w:r>
    </w:p>
    <w:p w:rsidRDefault="00E30F44" w:rsidP="00830D0A" w:rsidR="00E30F44" w:rsidRPr="00DD5DD8">
      <w:pPr>
        <w:ind w:firstLine="708"/>
      </w:pPr>
      <w:r w:rsidRPr="00DD5DD8">
        <w:tab/>
        <w:t>U cije</w:t>
      </w:r>
      <w:r w:rsidR="00D91376">
        <w:t>nu za nekretnine pod točkom II</w:t>
      </w:r>
      <w:r w:rsidRPr="00DD5DD8">
        <w:t xml:space="preserve"> je uključen i PDV od 25%.</w:t>
      </w:r>
    </w:p>
    <w:p w:rsidRDefault="003E5BDA" w:rsidP="0015734A" w:rsidR="0015734A" w:rsidRPr="00DD5DD8">
      <w:pPr>
        <w:ind w:firstLine="708" w:left="708"/>
        <w:jc w:val="both"/>
      </w:pPr>
      <w:r w:rsidRPr="00DD5DD8">
        <w:t>Nekretnine iz točke I</w:t>
      </w:r>
      <w:r w:rsidR="00D91376">
        <w:t>I</w:t>
      </w:r>
      <w:r w:rsidRPr="00DD5DD8">
        <w:t xml:space="preserve"> ovog zaključka prodavat će na</w:t>
      </w:r>
      <w:r w:rsidR="00911451" w:rsidRPr="00DD5DD8">
        <w:t xml:space="preserve"> </w:t>
      </w:r>
      <w:r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navedena za svaki poduložak pod točkom I</w:t>
      </w:r>
      <w:r w:rsidR="00D91376">
        <w:t>I</w:t>
      </w:r>
      <w:r w:rsidR="009F421D" w:rsidRPr="00DD5DD8">
        <w:t xml:space="preserve"> </w:t>
      </w:r>
      <w:r w:rsidR="00B35EFB" w:rsidRPr="00DD5DD8">
        <w:t xml:space="preserve"> </w:t>
      </w:r>
      <w:r w:rsidR="003E5BDA" w:rsidRPr="00DD5DD8">
        <w:t>i ispod t</w:t>
      </w:r>
      <w:r w:rsidR="00766646" w:rsidRPr="00DD5DD8">
        <w:t>e</w:t>
      </w:r>
      <w:r w:rsidR="00E30555" w:rsidRPr="00DD5DD8">
        <w:t xml:space="preserve"> cijene ne mogu se prodati na </w:t>
      </w:r>
      <w:r w:rsidR="00D91376">
        <w:t>9</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Kao kupci mogu sudjelovati samo osobe koje su najkasnije tri dana prije održavanja ročišta za javnu   dražbu up</w:t>
      </w:r>
      <w:r w:rsidR="009F421D" w:rsidRPr="00DD5DD8">
        <w:t>latile jamčevinu u iznosu od 10.000,00 kuna</w:t>
      </w:r>
      <w:r w:rsidR="00255DE7" w:rsidRPr="00DD5DD8">
        <w:t xml:space="preserve">  za </w:t>
      </w:r>
      <w:r w:rsidR="00FD4086" w:rsidRPr="00DD5DD8">
        <w:t xml:space="preserve">svaku </w:t>
      </w:r>
      <w:r w:rsidRPr="00DD5DD8">
        <w:t xml:space="preserve"> </w:t>
      </w:r>
      <w:r w:rsidR="00FD4086" w:rsidRPr="00DD5DD8">
        <w:t>nekretninu</w:t>
      </w:r>
      <w:r w:rsidR="00255DE7" w:rsidRPr="00DD5DD8">
        <w:t xml:space="preserve"> pod točkom I</w:t>
      </w:r>
      <w:r w:rsidR="00D91376">
        <w:t>I</w:t>
      </w:r>
      <w:r w:rsidRPr="00DD5DD8">
        <w:t xml:space="preserve"> na račun sudskog depozita Trgovačkog suda u Zagrebu otvorenog kod Hrvatske poštanske banke d.d. Zagreb broj: </w:t>
      </w:r>
      <w:r w:rsidR="00A3205C" w:rsidRPr="00DD5DD8">
        <w:t xml:space="preserve">2390001-1300000460 </w:t>
      </w:r>
      <w:r w:rsidR="00771DA0" w:rsidRPr="00DD5DD8">
        <w:t xml:space="preserve">(IBAN HR9223900011300000460)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Kupac je dužan uplatiti razliku između jamčevine i postignute kupoprodajne cijene u roku od 15 od  pravomoćnosti rješenja o dosudi na rač</w:t>
      </w:r>
      <w:r w:rsidR="00D91376">
        <w:t>un sudskog depozita iz točke VI.4</w:t>
      </w:r>
      <w:r w:rsidRPr="00DD5DD8">
        <w:t xml:space="preserve">.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lastRenderedPageBreak/>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tereti na nekretnini pod točkom A)</w:t>
      </w:r>
      <w:r w:rsidRPr="00DD5DD8">
        <w:t xml:space="preserve"> 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w:t>
      </w:r>
      <w:r w:rsidR="00780DDB">
        <w:tab/>
      </w:r>
      <w:r w:rsidRPr="00DD5DD8">
        <w:t xml:space="preserve">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780DDB" w:rsidR="00780DDB">
      <w:pPr>
        <w:ind w:firstLine="708" w:left="708"/>
        <w:jc w:val="both"/>
      </w:pPr>
      <w:r w:rsidRPr="00DD5DD8">
        <w:t>U slučaju osiguranja kredita prijenosom vlasništva na</w:t>
      </w:r>
      <w:r w:rsidR="00911451" w:rsidRPr="00DD5DD8">
        <w:t xml:space="preserve"> </w:t>
      </w:r>
      <w:r w:rsidRPr="00DD5DD8">
        <w:t xml:space="preserve">nekretninama sud će u </w:t>
      </w:r>
    </w:p>
    <w:p w:rsidRDefault="003E5BDA" w:rsidP="00780DDB" w:rsidR="003E5BDA" w:rsidRPr="00DD5DD8">
      <w:pPr>
        <w:jc w:val="both"/>
      </w:pPr>
      <w:r w:rsidRPr="00DD5DD8">
        <w:t>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r>
      <w:r w:rsidR="00780DDB">
        <w:tab/>
      </w:r>
      <w:r w:rsidRPr="00DD5DD8">
        <w:t>Prodaja se obavlja po načelu „viđeno-kupljeno“ što isključuje sve naknadne prigovore kupca.</w:t>
      </w:r>
    </w:p>
    <w:p w:rsidRDefault="00C31240" w:rsidP="00C31240" w:rsidR="00C31240" w:rsidRPr="00DD5DD8">
      <w:pPr>
        <w:jc w:val="both"/>
      </w:pPr>
      <w:r w:rsidRPr="00DD5DD8">
        <w:t xml:space="preserve">11. </w:t>
      </w:r>
      <w:r w:rsidRPr="00DD5DD8">
        <w:tab/>
      </w:r>
      <w:r w:rsidR="00780DDB">
        <w:tab/>
      </w:r>
      <w:r w:rsidRPr="00DD5DD8">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851D2C">
      <w:pPr>
        <w:pStyle w:val="Naslov1"/>
        <w:rPr>
          <w:b w:val="false"/>
        </w:rPr>
      </w:pPr>
      <w:r w:rsidRPr="00DD5DD8">
        <w:rPr>
          <w:b w:val="false"/>
        </w:rPr>
        <w:t>Obrazloženje</w:t>
      </w:r>
    </w:p>
    <w:p w:rsidRDefault="003E5BDA" w:rsidP="003E5BDA" w:rsidR="003E5BDA" w:rsidRPr="00DD5DD8">
      <w:pPr>
        <w:pStyle w:val="Naslov1"/>
        <w:rPr>
          <w:b w:val="false"/>
        </w:rPr>
      </w:pPr>
      <w:r w:rsidRPr="00DD5DD8">
        <w:rPr>
          <w:b w:val="false"/>
        </w:rPr>
        <w:t xml:space="preserve"> </w:t>
      </w:r>
    </w:p>
    <w:p w:rsidRDefault="00851D2C" w:rsidP="003E5BDA" w:rsidR="003E5BDA" w:rsidRPr="00DD5DD8">
      <w:r>
        <w:tab/>
        <w:t xml:space="preserve">Rješenjem o dosudi od 10. lipnja  2015. godine nekretnina pod točkom II A) dosuđen je kupcu </w:t>
      </w:r>
      <w:r>
        <w:rPr>
          <w:bCs/>
        </w:rPr>
        <w:t xml:space="preserve">TOMEX d.o.o. </w:t>
      </w:r>
      <w:r>
        <w:rPr>
          <w:color w:val="000000"/>
        </w:rPr>
        <w:t>Veliki Grđevac, Ul. K. Tomislava 20, OIB: 30816030994 koji nije u roku navedenom u rješenju o dosudi uplatio razliku kupovine na depozit Trgovačkog suda u Zagrebu, pa je stoga valjalo dosudu oglasiti nevažećom te ponovno oglasiti prodaju iste nekretnine pod istim uvjetima.</w:t>
      </w:r>
    </w:p>
    <w:p w:rsidRDefault="001228F2" w:rsidP="00143496" w:rsidR="003E5BDA"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21788D" w:rsidP="007051F3" w:rsidR="0021788D">
      <w:pPr>
        <w:ind w:firstLine="708"/>
      </w:pPr>
    </w:p>
    <w:p w:rsidRDefault="0021788D" w:rsidP="007051F3" w:rsidR="0021788D">
      <w:pPr>
        <w:ind w:firstLine="708"/>
      </w:pPr>
    </w:p>
    <w:p w:rsidRDefault="0021788D" w:rsidP="007051F3" w:rsidR="0021788D">
      <w:pPr>
        <w:ind w:firstLine="708"/>
      </w:pPr>
    </w:p>
    <w:p w:rsidRDefault="0021788D" w:rsidP="007051F3" w:rsidR="0021788D">
      <w:pPr>
        <w:ind w:firstLine="708"/>
      </w:pPr>
    </w:p>
    <w:p w:rsidRDefault="0021788D" w:rsidP="007051F3" w:rsidR="0021788D">
      <w:pPr>
        <w:ind w:firstLine="708"/>
      </w:pP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B20843">
        <w:t>7</w:t>
      </w:r>
      <w:r w:rsidR="00D91376">
        <w:t>. ožujka 2016.</w:t>
      </w:r>
      <w:r w:rsidR="00EB6119" w:rsidRPr="00DD5DD8">
        <w:t xml:space="preserve"> </w:t>
      </w:r>
      <w:r w:rsidR="00015395" w:rsidRPr="00DD5DD8">
        <w:t xml:space="preserve"> </w:t>
      </w:r>
      <w:r w:rsidR="00A43A3C" w:rsidRPr="00DD5DD8">
        <w:t xml:space="preserve"> </w:t>
      </w:r>
    </w:p>
    <w:p w:rsidRDefault="003E5BDA" w:rsidP="00993FA3" w:rsidR="00993FA3">
      <w:pPr>
        <w:ind w:firstLine="708" w:left="5664"/>
      </w:pPr>
      <w:r w:rsidRPr="00DD5DD8">
        <w:t>STEČAJNI SUDAC</w:t>
      </w:r>
    </w:p>
    <w:p w:rsidRDefault="003E5BDA" w:rsidP="00993FA3" w:rsidR="00402700">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8E527E">
        <w:t>,v.r.</w:t>
      </w:r>
    </w:p>
    <w:p w:rsidRDefault="00D91376" w:rsidP="00993FA3" w:rsidR="00D91376" w:rsidRPr="00DD5DD8"/>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E30555" w:rsidRPr="00DD5DD8">
        <w:tab/>
      </w:r>
      <w:r w:rsidR="00E30555" w:rsidRPr="00DD5DD8">
        <w:tab/>
      </w:r>
      <w:r w:rsidR="00E30555" w:rsidRPr="00DD5DD8">
        <w:tab/>
      </w:r>
      <w:r w:rsidR="00E30555" w:rsidRPr="00DD5DD8">
        <w:tab/>
      </w:r>
      <w:r w:rsidR="00E30555" w:rsidRPr="00DD5DD8">
        <w:tab/>
      </w:r>
      <w:r w:rsidR="00E30555" w:rsidRPr="00DD5DD8">
        <w:tab/>
      </w:r>
    </w:p>
    <w:p w:rsidRDefault="008E527E" w:rsidR="008E527E">
      <w:r>
        <w:tab/>
      </w:r>
      <w:r>
        <w:tab/>
      </w:r>
      <w:r>
        <w:tab/>
      </w:r>
      <w:r>
        <w:tab/>
      </w:r>
      <w:r>
        <w:tab/>
      </w:r>
      <w:r>
        <w:tab/>
      </w:r>
      <w:r>
        <w:tab/>
      </w:r>
      <w:r>
        <w:tab/>
        <w:t>Za točnost otpravka-ovl.službenik</w:t>
      </w:r>
    </w:p>
    <w:p w:rsidRDefault="008E527E" w:rsidP="008E527E" w:rsidR="008E527E">
      <w:pPr>
        <w:ind w:firstLine="708" w:left="5664"/>
      </w:pPr>
      <w:r>
        <w:t>Vinka Mihalinčić</w:t>
      </w:r>
    </w:p>
    <w:p w:rsidRDefault="00015395" w:rsidP="00D7215D" w:rsidR="00AA5226" w:rsidRPr="00DD5DD8">
      <w:r w:rsidRPr="00DD5DD8">
        <w:t xml:space="preserve"> </w:t>
      </w:r>
    </w:p>
    <w:sectPr w:rsidSect="00D91376" w:rsidR="00AA5226" w:rsidRPr="00DD5DD8">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527E">
      <w:rPr>
        <w:rStyle w:val="Brojstranice"/>
        <w:noProof/>
      </w:rPr>
      <w:t>4</w:t>
    </w:r>
    <w:r>
      <w:rPr>
        <w:rStyle w:val="Brojstranice"/>
      </w:rPr>
      <w:fldChar w:fldCharType="end"/>
    </w:r>
  </w:p>
  <w:p w:rsidRDefault="005F4F55" w:rsidR="005F4F55" w:rsidRPr="00E30555">
    <w:pPr>
      <w:pStyle w:val="Zaglavlje"/>
    </w:pPr>
    <w:r>
      <w:tab/>
    </w:r>
    <w:r w:rsidRPr="00E30555">
      <w:tab/>
    </w:r>
    <w:r>
      <w:t>31-ST-790/13-</w:t>
    </w:r>
    <w:r w:rsidR="00001F74">
      <w:t>1209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1F74"/>
    <w:rsid w:val="000048B6"/>
    <w:rsid w:val="00015395"/>
    <w:rsid w:val="0002716A"/>
    <w:rsid w:val="00042A75"/>
    <w:rsid w:val="00043A6E"/>
    <w:rsid w:val="00056AE6"/>
    <w:rsid w:val="000628CD"/>
    <w:rsid w:val="00065E2B"/>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1788D"/>
    <w:rsid w:val="002236FD"/>
    <w:rsid w:val="002349EC"/>
    <w:rsid w:val="00255DE7"/>
    <w:rsid w:val="00264E94"/>
    <w:rsid w:val="00273268"/>
    <w:rsid w:val="0027356B"/>
    <w:rsid w:val="002857A3"/>
    <w:rsid w:val="0029601B"/>
    <w:rsid w:val="00297212"/>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25C69"/>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0DDB"/>
    <w:rsid w:val="00781D17"/>
    <w:rsid w:val="00787B27"/>
    <w:rsid w:val="007A213D"/>
    <w:rsid w:val="007A6528"/>
    <w:rsid w:val="007E1A9D"/>
    <w:rsid w:val="007E7652"/>
    <w:rsid w:val="007F3674"/>
    <w:rsid w:val="007F3A38"/>
    <w:rsid w:val="007F4BA6"/>
    <w:rsid w:val="008001FD"/>
    <w:rsid w:val="008160E0"/>
    <w:rsid w:val="00830D0A"/>
    <w:rsid w:val="00851D2C"/>
    <w:rsid w:val="0085604A"/>
    <w:rsid w:val="00861B74"/>
    <w:rsid w:val="00881A0A"/>
    <w:rsid w:val="00890DAB"/>
    <w:rsid w:val="008A0774"/>
    <w:rsid w:val="008A5B38"/>
    <w:rsid w:val="008D10E8"/>
    <w:rsid w:val="008E527E"/>
    <w:rsid w:val="008F6EC1"/>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23C2B"/>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0843"/>
    <w:rsid w:val="00B25F0C"/>
    <w:rsid w:val="00B264AF"/>
    <w:rsid w:val="00B266B8"/>
    <w:rsid w:val="00B35DE0"/>
    <w:rsid w:val="00B35EFB"/>
    <w:rsid w:val="00B7776B"/>
    <w:rsid w:val="00B914AB"/>
    <w:rsid w:val="00B925A8"/>
    <w:rsid w:val="00BA20A0"/>
    <w:rsid w:val="00BB6073"/>
    <w:rsid w:val="00BD4D71"/>
    <w:rsid w:val="00BF615E"/>
    <w:rsid w:val="00C00C27"/>
    <w:rsid w:val="00C03C37"/>
    <w:rsid w:val="00C06943"/>
    <w:rsid w:val="00C159CE"/>
    <w:rsid w:val="00C16159"/>
    <w:rsid w:val="00C21C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1376"/>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EF4384"/>
    <w:rsid w:val="00F11886"/>
    <w:rsid w:val="00F128DC"/>
    <w:rsid w:val="00F4078B"/>
    <w:rsid w:val="00F4462A"/>
    <w:rsid w:val="00F46CEB"/>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8E527E"/>
    <w:rPr>
      <w:color w:val="808080"/>
      <w:bdr w:space="0" w:sz="0" w:color="auto" w:val="none"/>
      <w:shd w:fill="auto" w:color="auto" w:val="clear"/>
    </w:rPr>
  </w:style>
  <w:style w:customStyle="true" w:styleId="eSPISCCParagraphDefaultFont" w:type="character">
    <w:name w:val="eSPIS_CC_Paragraph Default Font"/>
    <w:basedOn w:val="Zadanifontodlomka"/>
    <w:rsid w:val="008E52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527E"/>
    <w:rPr>
      <w:bdr w:space="0" w:sz="0" w:color="auto" w:val="none"/>
      <w:shd w:fill="FFFFCC" w:color="auto" w:val="clear"/>
      <w:lang w:val="hr-HR"/>
    </w:rPr>
  </w:style>
  <w:style w:customStyle="true" w:styleId="PozadinaSvijetloCrvena" w:type="character">
    <w:name w:val="Pozadina_SvijetloCrvena"/>
    <w:basedOn w:val="eSPISCCParagraphDefaultFont"/>
    <w:rsid w:val="008E52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52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8E527E"/>
    <w:rPr>
      <w:color w:val="808080"/>
      <w:bdr w:color="auto" w:space="0" w:sz="0" w:val="none"/>
      <w:shd w:color="auto" w:fill="auto" w:val="clear"/>
    </w:rPr>
  </w:style>
  <w:style w:customStyle="1" w:styleId="eSPISCCParagraphDefaultFont" w:type="character">
    <w:name w:val="eSPIS_CC_Paragraph Default Font"/>
    <w:basedOn w:val="Zadanifontodlomka"/>
    <w:rsid w:val="008E52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527E"/>
    <w:rPr>
      <w:bdr w:color="auto" w:space="0" w:sz="0" w:val="none"/>
      <w:shd w:color="auto" w:fill="FFFFCC" w:val="clear"/>
      <w:lang w:val="hr-HR"/>
    </w:rPr>
  </w:style>
  <w:style w:customStyle="1" w:styleId="PozadinaSvijetloCrvena" w:type="character">
    <w:name w:val="Pozadina_SvijetloCrvena"/>
    <w:basedOn w:val="eSPISCCParagraphDefaultFont"/>
    <w:rsid w:val="008E52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52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OIB 24041950505;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OIB 32306109278; IVAN NOVOSEL; HRVOJE KALUĐER; Antun Ćurković, OIB 93050909375; JURICA KRIŽANIĆ; Nazar Sturko, OIB 39566107604; Mirjana Stanić, OIB 90866628263;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OIB 72762639648; MILAN ANĐEL; SANJA KARDUM; Ileana Bebek, OIB 22535202820;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OIB 08881870101; Antonio Veić, OIB 89569435361;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Ćurković, OIB 61786684206;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Savska Opatovina 32, 10000 Zagreb;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Ćurković, Ulica Drage Gervaisa 35, 10000 Zagreb;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OIB 24041950505, Savska Opatovina 30, 10000 Zagreb;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OIB 32306109278, Kustošijski Venec 93, 10000 Zagreb; IVAN NOVOSEL; HRVOJE KALUĐER; Antun Ćurković, OIB 93050909375, D. Gervaisa 42, 10000 Zagreb; JURICA KRIŽANIĆ;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OIB 72762639648; MILAN ANĐEL; SANJA KARDUM; Ileana Bebek, OIB 22535202820, Savska Opatovina 32, 10000 Zagreb;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Ćurković, OIB 61786684206, Ulica Drage Gervaisa 35, 10000 Zagreb;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Savska Opatovina 32,10000 Zagreb,MARKO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Ćurković Ulica Drage Gervaisa 35,10000 Zagreb,LJUBOMIR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 OIB 24041950505, Savska Opatovina 30,10000 Zagreb,NATALIJA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 OIB 32306109278, Kustošijski Venec 93,10000 Zagreb,IVAN NOVOSEL,HRVOJE KALUĐER,Antun Ćurković, OIB 93050909375, D. Gervaisa 42,10000 Zagreb,JURICA KRIŽANIĆ,Nazar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 OIB 72762639648,MILAN ANĐEL,SANJA KARDUM,Ileana Bebek, OIB 22535202820, Savska Opatovina 32,10000 Zagreb,MARKO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Ćurković, OIB 61786684206, Ulica Drage Gervaisa 35,10000 Zagreb,LJUBOMIR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 OIB 24041950505,NATALIJA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 OIB 32306109278,IVAN NOVOSEL,HRVOJE KALUĐER,Antun Ćurković, OIB 93050909375,JURICA KRIŽANIĆ,Nazar Sturko, OIB 39566107604,Mirjana Stanić, OIB 90866628263,STEN-EX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 OIB 72762639648,MILAN ANĐEL,SANJA KARDUM,Ileana Bebek, OIB 22535202820,MARKO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 OIB 08881870101,Antonio Veić, OIB 89569435361,JASENKA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Ćurković, OIB 61786684206,LJUBOMIR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Ćurković, Ulica Drage Gervaisa 35, 10000 Zagreb</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 OIB 24041950505, Savska Opatovina 30, 10000 Zagreb</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 OIB 32306109278, Kustošijski Venec 93, 10000 Zagreb</item>
      <item>IVAN NOVOSEL</item>
      <item>HRVOJE KALUĐER</item>
      <item>Antun Ćurković, OIB 93050909375, D. Gervaisa 42, 10000 Zagreb</item>
      <item>JURICA KRIŽANIĆ</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 OIB 72762639648</item>
      <item>MILAN ANĐEL</item>
      <item>SANJA KARDUM</item>
      <item>Ileana Bebek, OIB 22535202820, Savska Opatovina 32, 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Ćurković, OIB 61786684206, Ulica Drage Gervaisa 35, 10000 Zagreb</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 OIB 24041950505</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 OIB 32306109278</item>
      <item>IVAN NOVOSEL</item>
      <item>HRVOJE KALUĐER</item>
      <item>Antun Ćurković, OIB 93050909375</item>
      <item>JURICA KRIŽANIĆ</item>
      <item>Nazar Sturko, OIB 39566107604</item>
      <item>Mirjana Stanić, OIB 90866628263</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 OIB 72762639648</item>
      <item>MILAN ANĐEL</item>
      <item>SANJA KARDUM</item>
      <item>Ileana Bebek, OIB 22535202820</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Ćurković, OIB 61786684206</item>
      <item>LJUBOMIR STURKO</item>
      <item>MILJENKO BORIĆ</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2016.</izvorni_sadrzaj>
    <derivirana_varijabla naziv="DomainObject.Datum_1">7. ožujka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 OIB 24041950505, Savska Opatovina 30,10000 Zagreb</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 OIB 32306109278, Kustošijski Venec 93,10000 Zagreb</item>
      <item>IVAN NOVOSEL</item>
      <item>HRVOJE KALUĐER</item>
      <item>Antun Ćurković, OIB 93050909375, D. Gervaisa 42,10000 Zagreb</item>
      <item>JURICA KRIŽANIĆ</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 OIB 72762639648</item>
      <item>MILAN ANĐEL</item>
      <item>SANJA KARDUM</item>
      <item>Ileana Bebek, OIB 22535202820, Savska Opatovina 32,10000 Zagreb</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Ćurković, OIB 61786684206, Ulica Drage Gervaisa 35,10000 Zagreb</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24041950505</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32306109278</item>
      <item>, OIB null</item>
      <item>, OIB null</item>
      <item>, OIB 93050909375</item>
      <item>, OIB null</item>
      <item>, OIB 39566107604</item>
      <item>, OIB 90866628263</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72762639648</item>
      <item>, OIB null</item>
      <item>, OIB null</item>
      <item>, OIB 22535202820</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08881870101</item>
      <item>, OIB 89569435361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61786684206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1330</properties:Words>
  <properties:Characters>7465</properties:Characters>
  <properties:Lines>192</properties:Lines>
  <properties:Paragraphs>98</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2016-03-04T11:08:00Z</dcterms:created>
  <dc:creator>Nada Kraljić</dc:creator>
  <cp:lastModifiedBy>Vinka Mihalinčić</cp:lastModifiedBy>
  <cp:lastPrinted>2015-10-02T13:00:00Z</cp:lastPrinted>
  <dcterms:modified xmlns:xsi="http://www.w3.org/2001/XMLSchema-instance" xsi:type="dcterms:W3CDTF">2016-03-07T13:24:00Z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