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e79a" w14:paraId="751e79a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A17C7B">
        <w:rPr>
          <w:b/>
        </w:rPr>
        <w:t>621</w:t>
      </w:r>
      <w:r w:rsidR="000D330B" w:rsidRPr="005153ED">
        <w:rPr>
          <w:b/>
        </w:rPr>
        <w:t>/201</w:t>
      </w:r>
      <w:r w:rsidR="00A17C7B">
        <w:rPr>
          <w:b/>
        </w:rPr>
        <w:t>8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17C7B" w:rsidP="00D57A11" w:rsidR="00DB1319">
      <w:pPr>
        <w:rPr>
          <w:b/>
        </w:rPr>
      </w:pPr>
      <w:r>
        <w:rPr>
          <w:b/>
        </w:rPr>
        <w:t>Stalna služba u Dubrovniku</w:t>
      </w:r>
    </w:p>
    <w:p w:rsidRDefault="00A17C7B" w:rsidP="00D57A11" w:rsidR="00A17C7B" w:rsidRPr="003C75C1">
      <w:pPr>
        <w:rPr>
          <w:b/>
        </w:rPr>
      </w:pPr>
      <w:r>
        <w:rPr>
          <w:b/>
        </w:rPr>
        <w:t>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C53151" w:rsidP="001C5EF9" w:rsidR="00DB1319" w:rsidRPr="001C5EF9">
      <w:pPr>
        <w:jc w:val="center"/>
        <w:rPr>
          <w:b/>
        </w:rPr>
      </w:pPr>
      <w:r>
        <w:rPr>
          <w:b/>
        </w:rPr>
        <w:t>ZAKLJUČAK</w:t>
      </w:r>
    </w:p>
    <w:p w:rsidRDefault="00CC2466" w:rsidP="00D57A11" w:rsidR="00CC2466" w:rsidRPr="005153ED"/>
    <w:p w:rsidRDefault="00181AB7" w:rsidP="00181AB7" w:rsidR="00181AB7" w:rsidRPr="00181AB7">
      <w:pPr>
        <w:ind w:firstLine="708"/>
        <w:jc w:val="both"/>
      </w:pPr>
      <w:r w:rsidRPr="00181AB7">
        <w:t xml:space="preserve">Trgovački sud u Splitu, </w:t>
      </w:r>
      <w:r w:rsidR="00A17C7B" w:rsidRPr="00A17C7B">
        <w:t xml:space="preserve">Stalna služba u Dubrovniku </w:t>
      </w:r>
      <w:r w:rsidR="00A17C7B">
        <w:t>,</w:t>
      </w:r>
      <w:r w:rsidRPr="00181AB7">
        <w:t xml:space="preserve">po sucu toga suda Katarini Franković, u stečajnom postupku nad dužnikom u stečajnom postupku nad </w:t>
      </w:r>
      <w:r w:rsidR="00A17C7B" w:rsidRPr="00A17C7B">
        <w:t>Stečajna masa iza FERNAND d.o.o., Smokvica, Brna bb, OIB: 25451996379, zastupana po stečajnom upravitelju Renato Sabljić, Zagreb, Zdenački Zavoj 14, OIB: 74644810692</w:t>
      </w:r>
      <w:r>
        <w:t xml:space="preserve">, izvan ročišta, dana </w:t>
      </w:r>
      <w:r w:rsidR="00A17C7B">
        <w:t>23</w:t>
      </w:r>
      <w:r w:rsidR="00F45AB8">
        <w:t>. listopada</w:t>
      </w:r>
      <w:r w:rsidRPr="00181AB7">
        <w:t xml:space="preserve"> 2018.g.</w:t>
      </w:r>
    </w:p>
    <w:p w:rsidRDefault="00CC2466" w:rsidP="00D57A11" w:rsidR="00CC2466" w:rsidRPr="005153ED"/>
    <w:p w:rsidRDefault="00C53151" w:rsidP="00C53151" w:rsidR="00C53151" w:rsidRPr="00C53151">
      <w:pPr>
        <w:jc w:val="center"/>
        <w:rPr>
          <w:rFonts w:eastAsiaTheme="minorHAnsi"/>
          <w:b/>
          <w:lang w:eastAsia="en-US"/>
        </w:rPr>
      </w:pPr>
      <w:r w:rsidRPr="00C53151">
        <w:rPr>
          <w:rFonts w:eastAsiaTheme="minorHAnsi"/>
          <w:b/>
          <w:lang w:eastAsia="en-US"/>
        </w:rPr>
        <w:t>z a k lj u č i o     j e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ind w:firstLine="708"/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>Upućuje se stečajni upravitelj utvrditi postoje li u poslovnim knjigama dužnika evidentirani vjerovnici sa stalnim boravištem, domicilom ili sjedištem u drugoj državi članici, te ukoliko ima takvih vjerovnika se poziva utvrditi i ispitati tražbine i utvrditi o kojem isplatnom redu se radi.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jc w:val="center"/>
        <w:rPr>
          <w:rFonts w:eastAsiaTheme="minorHAnsi"/>
          <w:b/>
          <w:lang w:eastAsia="en-US"/>
        </w:rPr>
      </w:pPr>
      <w:r w:rsidRPr="00C53151">
        <w:rPr>
          <w:rFonts w:eastAsiaTheme="minorHAnsi"/>
          <w:b/>
          <w:lang w:eastAsia="en-US"/>
        </w:rPr>
        <w:t>Obrazloženje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ind w:firstLine="708"/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>Uredba vijeća (EZ) broj 1346/2000 stupila je na snagu 31. svibnja 2002. te je u cijelosti obvezujuća i izravno se primjenjuje u državama članica u skladu s Ugovorom o osnivanju Europske zajednice. Isto tako, s obzirom na to da je nad navedenim dužnikom stečajni postupak otvoren 23. svibnja 2016. primjenjuje se navedena Uredba broj 1346/2000 i njezina primjena vrijedi do 26. lipnja 2017., kada je stupila na snagu Uredba (EU) 2015/848 Europskog Parlamenta i Vijeća od 20. svibnja 2015. o postupku u slučaju nesolventnosti. Prema članku 92. navedene Uredbe primjenjuje se od 26. lipnja 2017.godine</w:t>
      </w:r>
    </w:p>
    <w:p w:rsidRDefault="00C53151" w:rsidP="00C53151" w:rsidR="00C53151" w:rsidRPr="00C53151">
      <w:pPr>
        <w:ind w:firstLine="708"/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ind w:firstLine="708"/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>Prema članku 39. Uredbe vijeća (EZ) broj 1346/2000, a kojim je regulirano „Pravo na prijavu tražbina“, bilo koji vjerovnik koji ima stalno boravište, domicil ili sjedište u državi članici koja nije država u kojoj je pokrenut postupak, uključujući i porezna tijela i tijela socijalne sigurnosti država članica, imaju pravo pisanim putem prijaviti tražbine u stečajnom postupku. Nadalje, prema članku 40. te Uredbe čim se u državi članici pokrene stečajni postupak, nadležni sud te države ili stečajni upravitelj kojeg je imenovao odmah obavještavaju poznate vjerovnike koji imaju stalno boravište, domicil ili sjedište u drugim državama članicama; a takva informacija, dana u pojedinačnoj obavijesti, posebno uključuje rokove, kazne, propisane u vezi s takvim rokovima, tijelo ili instituciju ovlaštenu da zaprimi prijavu tražbine ili druge propisane mjere; a takva obavijest također navodi trebaju li vjerovnici čije tražbine imaju pravo prvenstva ili koje su osigurane stvarnim pravima, prijaviti svoje tražbine.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ind w:firstLine="708"/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>Slijedom navedenog naloženo je stečajnom upravitelju očitovati se i ispitati navedene tražbinu ukoliko iste postoje. Zbog navedenog, na temelju spomenutog propisa, odlučeno je kao u izreci.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jc w:val="center"/>
        <w:rPr>
          <w:rFonts w:eastAsiaTheme="minorHAnsi"/>
          <w:b/>
          <w:lang w:eastAsia="en-US"/>
        </w:rPr>
      </w:pPr>
      <w:r w:rsidRPr="00C53151">
        <w:rPr>
          <w:rFonts w:eastAsiaTheme="minorHAnsi"/>
          <w:b/>
          <w:lang w:eastAsia="en-US"/>
        </w:rPr>
        <w:t xml:space="preserve">U </w:t>
      </w:r>
      <w:r w:rsidR="00A17C7B">
        <w:rPr>
          <w:rFonts w:eastAsiaTheme="minorHAnsi"/>
          <w:b/>
          <w:lang w:eastAsia="en-US"/>
        </w:rPr>
        <w:t>Dubrovnik</w:t>
      </w:r>
      <w:r w:rsidRPr="00C53151">
        <w:rPr>
          <w:rFonts w:eastAsiaTheme="minorHAnsi"/>
          <w:b/>
          <w:lang w:eastAsia="en-US"/>
        </w:rPr>
        <w:t xml:space="preserve">u, </w:t>
      </w:r>
      <w:r w:rsidR="00A17C7B">
        <w:rPr>
          <w:rFonts w:eastAsiaTheme="minorHAnsi"/>
          <w:b/>
          <w:lang w:eastAsia="en-US"/>
        </w:rPr>
        <w:t>23</w:t>
      </w:r>
      <w:r w:rsidRPr="00C53151">
        <w:rPr>
          <w:rFonts w:eastAsiaTheme="minorHAnsi"/>
          <w:b/>
          <w:lang w:eastAsia="en-US"/>
        </w:rPr>
        <w:t xml:space="preserve">. </w:t>
      </w:r>
      <w:r>
        <w:rPr>
          <w:rFonts w:eastAsiaTheme="minorHAnsi"/>
          <w:b/>
          <w:lang w:eastAsia="en-US"/>
        </w:rPr>
        <w:t>listopada</w:t>
      </w:r>
      <w:r w:rsidRPr="00C53151">
        <w:rPr>
          <w:rFonts w:eastAsiaTheme="minorHAnsi"/>
          <w:b/>
          <w:lang w:eastAsia="en-US"/>
        </w:rPr>
        <w:t xml:space="preserve"> 2018. godine</w:t>
      </w:r>
    </w:p>
    <w:p w:rsidRDefault="00C53151" w:rsidP="00C53151" w:rsidR="00C53151" w:rsidRPr="00C53151">
      <w:pPr>
        <w:jc w:val="both"/>
        <w:rPr>
          <w:rFonts w:eastAsiaTheme="minorHAnsi"/>
          <w:b/>
          <w:lang w:eastAsia="en-US"/>
        </w:rPr>
      </w:pPr>
    </w:p>
    <w:p w:rsidRDefault="00C53151" w:rsidP="00C53151" w:rsidR="00C53151" w:rsidRPr="00C53151">
      <w:pPr>
        <w:ind w:firstLine="708" w:left="5664"/>
        <w:jc w:val="both"/>
        <w:rPr>
          <w:rFonts w:eastAsiaTheme="minorHAnsi"/>
          <w:b/>
          <w:lang w:eastAsia="en-US"/>
        </w:rPr>
      </w:pPr>
      <w:r w:rsidRPr="00C53151">
        <w:rPr>
          <w:rFonts w:eastAsiaTheme="minorHAnsi"/>
          <w:b/>
          <w:lang w:eastAsia="en-US"/>
        </w:rPr>
        <w:t>Sudac:</w:t>
      </w:r>
    </w:p>
    <w:p w:rsidRDefault="00C53151" w:rsidP="00C53151" w:rsidR="00C53151" w:rsidRPr="00C53151">
      <w:pPr>
        <w:jc w:val="both"/>
        <w:rPr>
          <w:rFonts w:eastAsiaTheme="minorHAnsi"/>
          <w:b/>
          <w:lang w:eastAsia="en-US"/>
        </w:rPr>
      </w:pPr>
    </w:p>
    <w:p w:rsidRDefault="00C53151" w:rsidP="00C53151" w:rsidR="00C53151" w:rsidRPr="00C53151">
      <w:pPr>
        <w:ind w:firstLine="708" w:left="5664"/>
        <w:jc w:val="both"/>
        <w:rPr>
          <w:rFonts w:eastAsiaTheme="minorHAnsi"/>
          <w:b/>
          <w:lang w:eastAsia="en-US"/>
        </w:rPr>
      </w:pPr>
      <w:r w:rsidRPr="00C53151">
        <w:rPr>
          <w:rFonts w:eastAsiaTheme="minorHAnsi"/>
          <w:b/>
          <w:lang w:eastAsia="en-US"/>
        </w:rPr>
        <w:t>Katarina Franković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b/>
          <w:lang w:eastAsia="en-US"/>
        </w:rPr>
        <w:t>PRAVNA POUKA:</w:t>
      </w:r>
      <w:r w:rsidRPr="00C53151">
        <w:rPr>
          <w:rFonts w:eastAsiaTheme="minorHAnsi"/>
          <w:lang w:eastAsia="en-US"/>
        </w:rPr>
        <w:t xml:space="preserve"> 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 xml:space="preserve">DN-a:   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>-</w:t>
      </w:r>
      <w:r w:rsidRPr="00C53151">
        <w:rPr>
          <w:rFonts w:eastAsiaTheme="minorHAnsi"/>
          <w:lang w:eastAsia="en-US"/>
        </w:rPr>
        <w:tab/>
        <w:t>stečajnom upravitelju putem e oglasna ploča suda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>-</w:t>
      </w:r>
      <w:r w:rsidRPr="00C53151">
        <w:rPr>
          <w:rFonts w:eastAsiaTheme="minorHAnsi"/>
          <w:lang w:eastAsia="en-US"/>
        </w:rPr>
        <w:tab/>
        <w:t>mrežna stranica e-oglasna ploča suda</w:t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  <w:r w:rsidRPr="00C53151">
        <w:rPr>
          <w:rFonts w:eastAsiaTheme="minorHAnsi"/>
          <w:lang w:eastAsia="en-US"/>
        </w:rPr>
        <w:tab/>
      </w:r>
    </w:p>
    <w:p w:rsidRDefault="00C53151" w:rsidP="00C53151" w:rsidR="00C53151" w:rsidRPr="00C53151">
      <w:pPr>
        <w:jc w:val="both"/>
        <w:rPr>
          <w:rFonts w:eastAsiaTheme="minorHAnsi"/>
          <w:lang w:eastAsia="en-US"/>
        </w:rPr>
      </w:pPr>
    </w:p>
    <w:p w:rsidRDefault="00C53151" w:rsidP="00C53151" w:rsidR="00C53151" w:rsidRPr="00C53151">
      <w:pPr>
        <w:ind w:left="720"/>
        <w:jc w:val="both"/>
        <w:rPr>
          <w:rFonts w:eastAsiaTheme="minorHAnsi"/>
          <w:b/>
          <w:lang w:eastAsia="en-US"/>
        </w:rPr>
      </w:pPr>
    </w:p>
    <w:p w:rsidRDefault="00C53151" w:rsidP="00C53151" w:rsidR="00C53151" w:rsidRPr="00C53151">
      <w:pPr>
        <w:rPr>
          <w:rFonts w:eastAsiaTheme="minorHAnsi"/>
          <w:lang w:eastAsia="en-US"/>
        </w:rPr>
      </w:pPr>
    </w:p>
    <w:p w:rsidRDefault="00B21086" w:rsidP="00C53151" w:rsidR="00B21086" w:rsidRPr="003D0C55">
      <w:pPr>
        <w:jc w:val="center"/>
      </w:pP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3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A17C7B">
      <w:rPr>
        <w:rFonts w:hAnsi="Book Antiqua" w:ascii="Book Antiqua"/>
        <w:b/>
        <w:sz w:val="20"/>
        <w:szCs w:val="20"/>
      </w:rPr>
      <w:t>621</w:t>
    </w:r>
    <w:r w:rsidR="00C83042">
      <w:rPr>
        <w:rFonts w:hAnsi="Book Antiqua" w:ascii="Book Antiqua"/>
        <w:b/>
        <w:sz w:val="20"/>
        <w:szCs w:val="20"/>
      </w:rPr>
      <w:t>/201</w:t>
    </w:r>
    <w:r w:rsidR="00A17C7B">
      <w:rPr>
        <w:rFonts w:hAnsi="Book Antiqua" w:ascii="Book Antiqua"/>
        <w:b/>
        <w:sz w:val="20"/>
        <w:szCs w:val="20"/>
      </w:rPr>
      <w:t>8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F52680"/>
    <w:multiLevelType w:val="hybridMultilevel"/>
    <w:tmpl w:val="F3D0FE94"/>
    <w:lvl w:tplc="F9804D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6"/>
  </w:num>
  <w:num w:numId="6">
    <w:abstractNumId w:val="13"/>
  </w:num>
  <w:num w:numId="7">
    <w:abstractNumId w:val="5"/>
  </w:num>
  <w:num w:numId="8">
    <w:abstractNumId w:val="11"/>
  </w:num>
  <w:num w:numId="9">
    <w:abstractNumId w:val="7"/>
  </w:num>
  <w:num w:numId="10">
    <w:abstractNumId w:val="20"/>
  </w:num>
  <w:num w:numId="11">
    <w:abstractNumId w:val="21"/>
  </w:num>
  <w:num w:numId="12">
    <w:abstractNumId w:val="23"/>
  </w:num>
  <w:num w:numId="13">
    <w:abstractNumId w:val="22"/>
  </w:num>
  <w:num w:numId="14">
    <w:abstractNumId w:val="18"/>
  </w:num>
  <w:num w:numId="15">
    <w:abstractNumId w:val="12"/>
  </w:num>
  <w:num w:numId="16">
    <w:abstractNumId w:val="16"/>
  </w:num>
  <w:num w:numId="17">
    <w:abstractNumId w:val="19"/>
  </w:num>
  <w:num w:numId="18">
    <w:abstractNumId w:val="9"/>
  </w:num>
  <w:num w:numId="19">
    <w:abstractNumId w:val="8"/>
  </w:num>
  <w:num w:numId="20">
    <w:abstractNumId w:val="15"/>
  </w:num>
  <w:num w:numId="21">
    <w:abstractNumId w:val="2"/>
  </w:num>
  <w:num w:numId="22">
    <w:abstractNumId w:val="17"/>
  </w:num>
  <w:num w:numId="23">
    <w:abstractNumId w:val="14"/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54FDD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62766"/>
    <w:rsid w:val="0016563C"/>
    <w:rsid w:val="00180866"/>
    <w:rsid w:val="00181A73"/>
    <w:rsid w:val="00181AB7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9491A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0008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D234E"/>
    <w:rsid w:val="009E6267"/>
    <w:rsid w:val="009F2C60"/>
    <w:rsid w:val="00A040A9"/>
    <w:rsid w:val="00A17C7B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003"/>
    <w:rsid w:val="00B42E77"/>
    <w:rsid w:val="00B57772"/>
    <w:rsid w:val="00BB0F9E"/>
    <w:rsid w:val="00BC3074"/>
    <w:rsid w:val="00BD625B"/>
    <w:rsid w:val="00BF0A0B"/>
    <w:rsid w:val="00C10B5F"/>
    <w:rsid w:val="00C53151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55E3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45AB8"/>
    <w:rsid w:val="00F521E6"/>
    <w:rsid w:val="00FA53BB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3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3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3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3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3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3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3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3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542/2015</izvorni_sadrzaj>
    <derivirana_varijabla naziv="DomainObject.Predmet.Opis_1">NAKNADNA DIOBA St 542/2015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St-621/2018</izvorni_sadrzaj>
    <derivirana_varijabla naziv="DomainObject.Predmet.OznakaBroj_1">St-621/2018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FERNAND d.o.o. za turizam i trgovinu u stečaju</izvorni_sadrzaj>
    <derivirana_varijabla naziv="DomainObject.Predmet.StrankaFormated_1">  Stečajna masa iza FERNAND d.o.o. za turizam i trgovinu u stečaju</derivirana_varijabla>
  </DomainObject.Predmet.StrankaFormated>
  <DomainObject.Predmet.StrankaFormatedOIB>
    <izvorni_sadrzaj>  Stečajna masa iza FERNAND d.o.o. za turizam i trgovinu u stečaju, OIB 25451996379</izvorni_sadrzaj>
    <derivirana_varijabla naziv="DomainObject.Predmet.StrankaFormatedOIB_1">  Stečajna masa iza FERNAND d.o.o. za turizam i trgovinu u stečaju, OIB 25451996379</derivirana_varijabla>
  </DomainObject.Predmet.StrankaFormatedOIB>
  <DomainObject.Predmet.StrankaFormatedWithAdress>
    <izvorni_sadrzaj> Stečajna masa iza FERNAND d.o.o. za turizam i trgovinu u stečaju, Zdenački zavoj 14, 10000 Zagreb</izvorni_sadrzaj>
    <derivirana_varijabla naziv="DomainObject.Predmet.StrankaFormatedWithAdress_1"> Stečajna masa iza FERNAND d.o.o. za turizam i trgovinu u stečaju, Zdenački zavoj 14, 10000 Zagreb</derivirana_varijabla>
  </DomainObject.Predmet.StrankaFormatedWithAdress>
  <DomainObject.Predmet.StrankaFormatedWithAdressOIB>
    <izvorni_sadrzaj> Stečajna masa iza FERNAND d.o.o. za turizam i trgovinu u stečaju, OIB 25451996379, Zdenački zavoj 14, 10000 Zagreb</izvorni_sadrzaj>
    <derivirana_varijabla naziv="DomainObject.Predmet.StrankaFormatedWithAdressOIB_1"> Stečajna masa iza FERNAND d.o.o. za turizam i trgovinu u stečaju, OIB 25451996379, Zdenački zavoj 14, 10000 Zagreb</derivirana_varijabla>
  </DomainObject.Predmet.StrankaFormatedWithAdressOIB>
  <DomainObject.Predmet.StrankaWithAdress>
    <izvorni_sadrzaj>Stečajna masa iza FERNAND d.o.o. za turizam i trgovinu u stečaju Zdenački zavoj 14,10000 Zagreb</izvorni_sadrzaj>
    <derivirana_varijabla naziv="DomainObject.Predmet.StrankaWithAdress_1">Stečajna masa iza FERNAND d.o.o. za turizam i trgovinu u stečaju Zdenački zavoj 14,10000 Zagreb</derivirana_varijabla>
  </DomainObject.Predmet.StrankaWithAdress>
  <DomainObject.Predmet.StrankaWithAdressOIB>
    <izvorni_sadrzaj>Stečajna masa iza FERNAND d.o.o. za turizam i trgovinu u stečaju, OIB 25451996379, Zdenački zavoj 14,10000 Zagreb</izvorni_sadrzaj>
    <derivirana_varijabla naziv="DomainObject.Predmet.StrankaWithAdressOIB_1">Stečajna masa iza FERNAND d.o.o. za turizam i trgovinu u stečaju, OIB 25451996379, Zdenački zavoj 14,10000 Zagreb</derivirana_varijabla>
  </DomainObject.Predmet.StrankaWithAdressOIB>
  <DomainObject.Predmet.StrankaNazivFormated>
    <izvorni_sadrzaj>Stečajna masa iza FERNAND d.o.o. za turizam i trgovinu u stečaju</izvorni_sadrzaj>
    <derivirana_varijabla naziv="DomainObject.Predmet.StrankaNazivFormated_1">Stečajna masa iza FERNAND d.o.o. za turizam i trgovinu u stečaju</derivirana_varijabla>
  </DomainObject.Predmet.StrankaNazivFormated>
  <DomainObject.Predmet.StrankaNazivFormatedOIB>
    <izvorni_sadrzaj>Stečajna masa iza FERNAND d.o.o. za turizam i trgovinu u stečaju, OIB 25451996379</izvorni_sadrzaj>
    <derivirana_varijabla naziv="DomainObject.Predmet.StrankaNazivFormatedOIB_1">Stečajna masa iza FERNAND d.o.o. za turizam i trgovinu u stečaju, OIB 25451996379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FERNAND d.o.o. za turizam i trgovinu u stečaju</item>
    </izvorni_sadrzaj>
    <derivirana_varijabla naziv="DomainObject.Predmet.StrankaListFormated_1">
      <item>Stečajna masa iza FERNAND d.o.o. za turizam i trgovinu u stečaju</item>
    </derivirana_varijabla>
  </DomainObject.Predmet.StrankaListFormated>
  <DomainObject.Predmet.StrankaListFormatedOIB>
    <izvorni_sadrzaj>
      <item>Stečajna masa iza FERNAND d.o.o. za turizam i trgovinu u stečaju, OIB 25451996379</item>
    </izvorni_sadrzaj>
    <derivirana_varijabla naziv="DomainObject.Predmet.StrankaListFormatedOIB_1">
      <item>Stečajna masa iza FERNAND d.o.o. za turizam i trgovinu u stečaju, OIB 25451996379</item>
    </derivirana_varijabla>
  </DomainObject.Predmet.StrankaListFormatedOIB>
  <DomainObject.Predmet.StrankaListFormatedWithAdress>
    <izvorni_sadrzaj>
      <item>Stečajna masa iza FERNAND d.o.o. za turizam i trgovinu u stečaju, Zdenački zavoj 14, 10000 Zagreb</item>
    </izvorni_sadrzaj>
    <derivirana_varijabla naziv="DomainObject.Predmet.StrankaListFormatedWithAdress_1">
      <item>Stečajna masa iza FERNAND d.o.o. za turizam i trgovinu u stečaju, Zdenački zavoj 14, 10000 Zagreb</item>
    </derivirana_varijabla>
  </DomainObject.Predmet.StrankaListFormatedWithAdress>
  <DomainObject.Predmet.StrankaListFormatedWithAdressOIB>
    <izvorni_sadrzaj>
      <item>Stečajna masa iza FERNAND d.o.o. za turizam i trgovinu u stečaju, OIB 25451996379, Zdenački zavoj 14, 10000 Zagreb</item>
    </izvorni_sadrzaj>
    <derivirana_varijabla naziv="DomainObject.Predmet.StrankaListFormatedWithAdressOIB_1">
      <item>Stečajna masa iza FERNAND d.o.o. za turizam i trgovinu u stečaju, OIB 25451996379, Zdenački zavoj 14, 10000 Zagreb</item>
    </derivirana_varijabla>
  </DomainObject.Predmet.StrankaListFormatedWithAdressOIB>
  <DomainObject.Predmet.StrankaListNazivFormated>
    <izvorni_sadrzaj>
      <item>Stečajna masa iza FERNAND d.o.o. za turizam i trgovinu u stečaju</item>
    </izvorni_sadrzaj>
    <derivirana_varijabla naziv="DomainObject.Predmet.StrankaListNazivFormated_1">
      <item>Stečajna masa iza FERNAND d.o.o. za turizam i trgovinu u stečaju</item>
    </derivirana_varijabla>
  </DomainObject.Predmet.StrankaListNazivFormated>
  <DomainObject.Predmet.StrankaListNazivFormatedOIB>
    <izvorni_sadrzaj>
      <item>Stečajna masa iza FERNAND d.o.o. za turizam i trgovinu u stečaju, OIB 25451996379</item>
    </izvorni_sadrzaj>
    <derivirana_varijabla naziv="DomainObject.Predmet.StrankaListNazivFormatedOIB_1">
      <item>Stečajna masa iza FERNAND d.o.o. za turizam i trgovinu u stečaju, OIB 25451996379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Renato Sabljić</item>
    </izvorni_sadrzaj>
    <derivirana_varijabla naziv="DomainObject.Predmet.OstaliListFormated_1">
      <item>Renato Sabljić</item>
    </derivirana_varijabla>
  </DomainObject.Predmet.OstaliListFormated>
  <DomainObject.Predmet.OstaliListFormatedOIB>
    <izvorni_sadrzaj>
      <item>Renato Sabljić</item>
    </izvorni_sadrzaj>
    <derivirana_varijabla naziv="DomainObject.Predmet.OstaliListFormatedOIB_1">
      <item>Renato Sabljić</item>
    </derivirana_varijabla>
  </DomainObject.Predmet.OstaliListFormatedOIB>
  <DomainObject.Predmet.OstaliListFormatedWithAdress>
    <izvorni_sadrzaj>
      <item>Renato Sabljić, Zdenački zavoj 14, 10000 Zagreb</item>
    </izvorni_sadrzaj>
    <derivirana_varijabla naziv="DomainObject.Predmet.OstaliListFormatedWithAdress_1">
      <item>Renato Sabljić, Zdenački zavoj 14, 10000 Zagreb</item>
    </derivirana_varijabla>
  </DomainObject.Predmet.OstaliListFormatedWithAdress>
  <DomainObject.Predmet.OstaliListFormatedWithAdressOIB>
    <izvorni_sadrzaj>
      <item>Renato Sabljić, Zdenački zavoj 14, 10000 Zagreb</item>
    </izvorni_sadrzaj>
    <derivirana_varijabla naziv="DomainObject.Predmet.OstaliListFormatedWithAdressOIB_1">
      <item>Renato Sabljić, Zdenački zavoj 14, 10000 Zagreb</item>
    </derivirana_varijabla>
  </DomainObject.Predmet.OstaliListFormatedWithAdressOIB>
  <DomainObject.Predmet.OstaliListNazivFormated>
    <izvorni_sadrzaj>
      <item>Renato Sabljić</item>
    </izvorni_sadrzaj>
    <derivirana_varijabla naziv="DomainObject.Predmet.OstaliListNazivFormated_1">
      <item>Renato Sabljić</item>
    </derivirana_varijabla>
  </DomainObject.Predmet.OstaliListNazivFormated>
  <DomainObject.Predmet.OstaliListNazivFormatedOIB>
    <izvorni_sadrzaj>
      <item>Renato Sabljić</item>
    </izvorni_sadrzaj>
    <derivirana_varijabla naziv="DomainObject.Predmet.OstaliListNazivFormatedOIB_1">
      <item>Renato Sabljić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FERNAND d.o.o. za turizam i trgovinu u stečaju</izvorni_sadrzaj>
    <derivirana_varijabla naziv="DomainObject.Predmet.StrankaIDrugi_1">Stečajna masa iza FERNAND d.o.o. za turizam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FERNAND d.o.o. za turizam i trgovinu u stečaju, OIB 25451996379, Zdenački zavoj 14, 10000 Zagreb</izvorni_sadrzaj>
    <derivirana_varijabla naziv="DomainObject.Predmet.StrankaIDrugiAdressOIB_1">Stečajna masa iza FERNAND d.o.o. za turizam i trgovinu u stečaju, OIB 25451996379, Zdenački zavoj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FERNAND d.o.o. za turizam i trgovinu u stečaju</item>
      <item>Renato Sabljić</item>
    </izvorni_sadrzaj>
    <derivirana_varijabla naziv="DomainObject.Predmet.SudioniciListNaziv_1">
      <item>Stečajna masa iza FERNAND d.o.o. za turizam i trgovinu u stečaju</item>
      <item>Renato Sabljić</item>
    </derivirana_varijabla>
  </DomainObject.Predmet.SudioniciListNaziv>
  <DomainObject.Predmet.SudioniciListAdressOIB>
    <izvorni_sadrzaj>
      <item>Stečajna masa iza FERNAND d.o.o. za turizam i trgovinu u stečaju, OIB 25451996379, Zdenački zavoj 14,10000 Zagreb</item>
      <item>Renato Sabljić, Zdenački zavoj 14,10000 Zagreb</item>
    </izvorni_sadrzaj>
    <derivirana_varijabla naziv="DomainObject.Predmet.SudioniciListAdressOIB_1">
      <item>Stečajna masa iza FERNAND d.o.o. za turizam i trgovinu u stečaju, OIB 25451996379, Zdenački zavoj 14,10000 Zagreb</item>
      <item>Renato Sabljić,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25451996379</item>
      <item>, OIB null</item>
    </izvorni_sadrzaj>
    <derivirana_varijabla naziv="DomainObject.Predmet.SudioniciListNazivOIB_1">
      <item>, OIB 25451996379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St-621/2018-14</izvorni_sadrzaj>
    <derivirana_varijabla naziv="DomainObject.PredzadnjaOdlukaIzPredmeta.Oznaka_1">St-621/2018-14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211C7-6B6D-4D12-9E8F-55CD3EC182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2551</properties:Characters>
  <properties:Lines>72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2018-10-23T07:27:00Z</dcterms:created>
  <dc:creator>stanka grcic</dc:creator>
  <cp:lastModifiedBy>Katarina Franković</cp:lastModifiedBy>
  <cp:lastPrinted>2018-10-02T12:57:00Z</cp:lastPrinted>
  <dcterms:modified xmlns:xsi="http://www.w3.org/2001/XMLSchema-instance" xsi:type="dcterms:W3CDTF">2018-10-23T07:28:00Z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(rješenje - poziv provjeriti ima li stranaca uredba EU  621 -18.docx)</vt:lpwstr>
  </prop:property>
  <prop:property name="CC_coloring" pid="5" fmtid="{D5CDD505-2E9C-101B-9397-08002B2CF9AE}">
    <vt:bool>false</vt:bool>
  </prop:property>
</prop:Properties>
</file>