
<file path=[Content_Types].xml><?xml version="1.0" encoding="utf-8"?>
<Types xmlns="http://schemas.openxmlformats.org/package/2006/content-types">
  <Default ContentType="application/vnd.openxmlformats-officedocument.oleObject" Extension="bin"/>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ce842" w14:paraId="60ce842" w:rsidRDefault="00CE66CE" w:rsidR="006A1DAC">
      <w:pPr>
        <w:pStyle w:val="Standard"/>
        <w:jc w:val="center"/>
        <w15:collapsed w:val="false"/>
        <w:rPr>
          <w:b/>
        </w:rPr>
      </w:pPr>
      <w:bookmarkStart w:name="_GoBack" w:id="0"/>
      <w:bookmarkEnd w:id="0"/>
      <w:r>
        <w:rPr>
          <w:b/>
        </w:rPr>
        <w:t>Obrazac 20.</w:t>
      </w:r>
    </w:p>
    <w:p w:rsidRDefault="006A1DAC" w:rsidR="006A1DAC">
      <w:pPr>
        <w:pStyle w:val="Standard"/>
        <w:jc w:val="center"/>
        <w:rPr>
          <w:b/>
        </w:rPr>
      </w:pPr>
    </w:p>
    <w:p w:rsidRDefault="00CE66CE" w:rsidR="006A1DAC">
      <w:pPr>
        <w:pStyle w:val="Standard"/>
        <w:spacing w:lineRule="auto" w:line="288"/>
        <w:jc w:val="both"/>
      </w:pPr>
      <w:r>
        <w:rPr>
          <w:rFonts w:hAnsi="Tahoma" w:ascii="Tahoma"/>
          <w:b/>
          <w:lang w:val="pl-PL"/>
        </w:rPr>
        <w:t>Nadle</w:t>
      </w:r>
      <w:r>
        <w:rPr>
          <w:rFonts w:hAnsi="Tahoma" w:ascii="Tahoma"/>
          <w:b/>
        </w:rPr>
        <w:t>ž</w:t>
      </w:r>
      <w:r>
        <w:rPr>
          <w:rFonts w:hAnsi="Tahoma" w:ascii="Tahoma"/>
          <w:b/>
          <w:lang w:val="pl-PL"/>
        </w:rPr>
        <w:t>an trgova</w:t>
      </w:r>
      <w:r>
        <w:rPr>
          <w:rFonts w:hAnsi="Tahoma" w:ascii="Tahoma"/>
          <w:b/>
        </w:rPr>
        <w:t>č</w:t>
      </w:r>
      <w:r>
        <w:rPr>
          <w:rFonts w:hAnsi="Tahoma" w:ascii="Tahoma"/>
          <w:b/>
          <w:lang w:val="pl-PL"/>
        </w:rPr>
        <w:t>ki sud</w:t>
      </w:r>
      <w:r>
        <w:rPr>
          <w:rFonts w:hAnsi="Tahoma" w:ascii="Tahoma"/>
          <w:lang w:val="pl-PL"/>
        </w:rPr>
        <w:t>:</w:t>
      </w:r>
      <w:r>
        <w:rPr>
          <w:rFonts w:hAnsi="Tahoma" w:ascii="Tahoma"/>
        </w:rPr>
        <w:tab/>
      </w:r>
      <w:r>
        <w:rPr>
          <w:rFonts w:hAnsi="Tahoma" w:ascii="Tahoma"/>
          <w:b/>
        </w:rPr>
        <w:t>Trgovački sud u Varaždinu</w:t>
      </w:r>
    </w:p>
    <w:p w:rsidRDefault="00CE66CE" w:rsidR="006A1DAC">
      <w:pPr>
        <w:pStyle w:val="Standard"/>
        <w:spacing w:lineRule="auto" w:line="288"/>
        <w:jc w:val="both"/>
      </w:pPr>
      <w:r>
        <w:rPr>
          <w:rFonts w:hAnsi="Tahoma" w:ascii="Tahoma"/>
          <w:b/>
          <w:lang w:val="pl-PL"/>
        </w:rPr>
        <w:t>Poslovni broj spisa</w:t>
      </w:r>
      <w:r>
        <w:rPr>
          <w:rFonts w:hAnsi="Tahoma" w:ascii="Tahoma"/>
          <w:lang w:val="pl-PL"/>
        </w:rPr>
        <w:t>:</w:t>
      </w:r>
      <w:r>
        <w:rPr>
          <w:rFonts w:hAnsi="Tahoma" w:ascii="Tahoma"/>
          <w:lang w:val="pl-PL"/>
        </w:rPr>
        <w:tab/>
      </w:r>
      <w:r>
        <w:rPr>
          <w:rFonts w:hAnsi="Tahoma" w:ascii="Tahoma"/>
          <w:lang w:val="pl-PL"/>
        </w:rPr>
        <w:tab/>
      </w:r>
      <w:r>
        <w:rPr>
          <w:rFonts w:hAnsi="Tahoma" w:ascii="Tahoma"/>
          <w:b/>
          <w:lang w:val="pl-PL"/>
        </w:rPr>
        <w:t>St-820/16</w:t>
      </w:r>
    </w:p>
    <w:p w:rsidRDefault="00CE66CE" w:rsidR="006A1DAC">
      <w:pPr>
        <w:pStyle w:val="Standard"/>
        <w:spacing w:lineRule="auto" w:line="288"/>
        <w:jc w:val="both"/>
        <w:rPr>
          <w:rFonts w:hAnsi="Tahoma" w:ascii="Tahoma"/>
          <w:b/>
          <w:lang w:val="pl-PL"/>
        </w:rPr>
      </w:pPr>
      <w:r>
        <w:rPr>
          <w:rFonts w:hAnsi="Tahoma" w:ascii="Tahoma"/>
          <w:b/>
          <w:lang w:val="pl-PL"/>
        </w:rPr>
        <w:t xml:space="preserve">Dužnik: </w:t>
      </w:r>
      <w:r>
        <w:rPr>
          <w:rFonts w:hAnsi="Tahoma" w:ascii="Tahoma"/>
          <w:b/>
          <w:lang w:val="pl-PL"/>
        </w:rPr>
        <w:tab/>
      </w:r>
      <w:r>
        <w:rPr>
          <w:rFonts w:hAnsi="Tahoma" w:ascii="Tahoma"/>
          <w:b/>
          <w:lang w:val="pl-PL"/>
        </w:rPr>
        <w:tab/>
      </w:r>
      <w:r>
        <w:rPr>
          <w:rFonts w:hAnsi="Tahoma" w:ascii="Tahoma"/>
          <w:b/>
          <w:lang w:val="pl-PL"/>
        </w:rPr>
        <w:tab/>
      </w:r>
      <w:r>
        <w:rPr>
          <w:rFonts w:hAnsi="Tahoma" w:ascii="Tahoma"/>
          <w:b/>
          <w:lang w:val="pl-PL"/>
        </w:rPr>
        <w:tab/>
        <w:t>SOLIS j.d.o.o. u stečaju</w:t>
      </w:r>
    </w:p>
    <w:p w:rsidRDefault="00CE66CE" w:rsidR="006A1DAC">
      <w:pPr>
        <w:pStyle w:val="Standard"/>
        <w:spacing w:lineRule="auto" w:line="288"/>
        <w:ind w:firstLine="709" w:left="2127"/>
        <w:jc w:val="both"/>
        <w:rPr>
          <w:rFonts w:hAnsi="Tahoma" w:ascii="Tahoma"/>
          <w:b/>
          <w:lang w:val="pl-PL"/>
        </w:rPr>
      </w:pPr>
      <w:r>
        <w:rPr>
          <w:rFonts w:hAnsi="Tahoma" w:ascii="Tahoma"/>
          <w:b/>
          <w:lang w:val="pl-PL"/>
        </w:rPr>
        <w:tab/>
        <w:t>Ivana Generalića 3, Koprivnica</w:t>
      </w:r>
    </w:p>
    <w:p w:rsidRDefault="006A1DAC" w:rsidR="006A1DAC">
      <w:pPr>
        <w:pStyle w:val="Standard"/>
        <w:spacing w:lineRule="auto" w:line="288"/>
        <w:jc w:val="both"/>
        <w:rPr>
          <w:rFonts w:hAnsi="Tahoma" w:ascii="Tahoma"/>
          <w:lang w:val="pl-PL"/>
        </w:rPr>
      </w:pPr>
    </w:p>
    <w:p w:rsidRDefault="006A1DAC" w:rsidR="006A1DAC">
      <w:pPr>
        <w:pStyle w:val="Standard"/>
        <w:spacing w:lineRule="auto" w:line="288"/>
        <w:jc w:val="both"/>
        <w:rPr>
          <w:rFonts w:hAnsi="Tahoma" w:ascii="Tahoma"/>
          <w:lang w:val="pl-PL"/>
        </w:rPr>
      </w:pPr>
    </w:p>
    <w:p w:rsidRDefault="006A1DAC" w:rsidR="006A1DAC">
      <w:pPr>
        <w:pStyle w:val="Standard"/>
        <w:spacing w:lineRule="auto" w:line="288"/>
        <w:jc w:val="both"/>
        <w:rPr>
          <w:rFonts w:hAnsi="Tahoma" w:ascii="Tahoma"/>
          <w:lang w:val="pl-PL"/>
        </w:rPr>
      </w:pPr>
    </w:p>
    <w:p w:rsidRDefault="00CE66CE" w:rsidR="006A1DAC">
      <w:pPr>
        <w:pStyle w:val="Standard"/>
        <w:spacing w:lineRule="auto" w:line="288"/>
        <w:jc w:val="both"/>
      </w:pPr>
      <w:r>
        <w:rPr>
          <w:rFonts w:hAnsi="Tahoma" w:ascii="Tahoma"/>
          <w:lang w:val="pl-PL"/>
        </w:rPr>
        <w:t>Rješenjem Trgovačkog suda u Varaždinu od 27. siječnja 2017. godine otvoren je stečajni postupak nad društvom SOLIS j.d.o.o., Ivana Generalića 3, Koprivnica, OIB: 54105212910, MBS: 070126175. Temeljem č</w:t>
      </w:r>
      <w:r>
        <w:rPr>
          <w:rFonts w:hAnsi="Tahoma" w:ascii="Tahoma"/>
        </w:rPr>
        <w:t>l. 227. st. 1. Stečajnog zakona stečajni upravitelj podnosi:</w:t>
      </w:r>
    </w:p>
    <w:p w:rsidRDefault="006A1DAC" w:rsidR="006A1DAC">
      <w:pPr>
        <w:pStyle w:val="Standard"/>
        <w:spacing w:lineRule="auto" w:line="288"/>
        <w:jc w:val="both"/>
        <w:rPr>
          <w:rFonts w:hAnsi="Tahoma" w:ascii="Tahoma"/>
          <w:lang w:val="pl-PL"/>
        </w:rPr>
      </w:pPr>
    </w:p>
    <w:p w:rsidRDefault="006A1DAC" w:rsidR="006A1DAC">
      <w:pPr>
        <w:pStyle w:val="Standard"/>
        <w:spacing w:lineRule="auto" w:line="288"/>
        <w:jc w:val="center"/>
        <w:rPr>
          <w:rFonts w:hAnsi="Tahoma" w:ascii="Tahoma"/>
          <w:b/>
        </w:rPr>
      </w:pPr>
    </w:p>
    <w:p w:rsidRDefault="00CE66CE" w:rsidR="006A1DAC">
      <w:pPr>
        <w:pStyle w:val="Standard"/>
        <w:spacing w:lineRule="auto" w:line="288"/>
        <w:jc w:val="center"/>
        <w:rPr>
          <w:rFonts w:hAnsi="Tahoma" w:ascii="Tahoma"/>
          <w:b/>
        </w:rPr>
      </w:pPr>
      <w:r>
        <w:rPr>
          <w:rFonts w:hAnsi="Tahoma" w:ascii="Tahoma"/>
          <w:b/>
        </w:rPr>
        <w:t>IZVJEŠĆE STEČAJNOGA UPRAVITELJA O GOSPODARSKOM POLOŽAJU STEČAJNOG DUŽNIKA I STANJU IMOVINE I OBVEZA</w:t>
      </w:r>
    </w:p>
    <w:p w:rsidRDefault="006A1DAC" w:rsidR="006A1DAC">
      <w:pPr>
        <w:pStyle w:val="Standard"/>
        <w:spacing w:lineRule="auto" w:line="288"/>
        <w:jc w:val="center"/>
        <w:rPr>
          <w:rFonts w:hAnsi="Tahoma" w:ascii="Tahoma"/>
          <w:b/>
        </w:rPr>
      </w:pPr>
    </w:p>
    <w:p w:rsidRDefault="00CE66CE" w:rsidR="006A1DAC">
      <w:pPr>
        <w:pStyle w:val="Standard"/>
        <w:spacing w:lineRule="auto" w:line="288"/>
        <w:jc w:val="both"/>
        <w:rPr>
          <w:rFonts w:hAnsi="Tahoma" w:ascii="Tahoma"/>
          <w:b/>
          <w:u w:val="single"/>
        </w:rPr>
      </w:pPr>
      <w:r>
        <w:rPr>
          <w:rFonts w:hAnsi="Tahoma" w:ascii="Tahoma"/>
          <w:b/>
          <w:u w:val="single"/>
        </w:rPr>
        <w:t>I Uzroci i razlozi  otvaranja stečajnog postupka</w:t>
      </w:r>
    </w:p>
    <w:p w:rsidRDefault="006A1DAC" w:rsidR="006A1DAC">
      <w:pPr>
        <w:pStyle w:val="Standard"/>
        <w:spacing w:lineRule="auto" w:line="288"/>
        <w:jc w:val="both"/>
        <w:rPr>
          <w:rFonts w:hAnsi="Tahoma" w:ascii="Tahoma"/>
        </w:rPr>
      </w:pPr>
    </w:p>
    <w:p w:rsidRDefault="00CE66CE" w:rsidR="006A1DAC">
      <w:pPr>
        <w:pStyle w:val="Standard"/>
        <w:spacing w:lineRule="auto" w:line="288"/>
        <w:jc w:val="both"/>
        <w:rPr>
          <w:rFonts w:hAnsi="Tahoma" w:ascii="Tahoma"/>
        </w:rPr>
      </w:pPr>
      <w:r>
        <w:rPr>
          <w:rFonts w:hAnsi="Tahoma" w:ascii="Tahoma"/>
        </w:rPr>
        <w:t>Prijedlog za otvaranje stečajnog postupka dana 05. veljače 2016. godine podnijela je Fina - Regionalni centar Zagreb, Podružnica Varaždin. Također RH Ministarstvo financija, Porezna uprava Sjeverna Hrvatska predložila je otvaranje stečajnog postupka jer ima tražbinu prema dužniku u iznosu od 11.658,11 kn.</w:t>
      </w:r>
    </w:p>
    <w:p w:rsidRDefault="006A1DAC" w:rsidR="006A1DAC">
      <w:pPr>
        <w:pStyle w:val="Standard"/>
        <w:spacing w:lineRule="auto" w:line="288"/>
        <w:jc w:val="both"/>
        <w:rPr>
          <w:rFonts w:hAnsi="Tahoma" w:ascii="Tahoma"/>
        </w:rPr>
      </w:pPr>
    </w:p>
    <w:p w:rsidRDefault="00CE66CE" w:rsidR="006A1DAC">
      <w:pPr>
        <w:pStyle w:val="Standard"/>
        <w:spacing w:lineRule="auto" w:line="288"/>
        <w:jc w:val="both"/>
        <w:rPr>
          <w:rFonts w:hAnsi="Tahoma" w:ascii="Tahoma"/>
        </w:rPr>
      </w:pPr>
      <w:r>
        <w:rPr>
          <w:rFonts w:hAnsi="Tahoma" w:ascii="Tahoma"/>
        </w:rPr>
        <w:t>Račun stečajnog dužnika do dana otvaranja stečajnog postupka nalazio se u neprekidnoj blokadi 148 dana a blokada iznosi 9.303,61 kn, čime su ispunjene pretpostavke iz čl. 109. Stečajnog zakona</w:t>
      </w:r>
    </w:p>
    <w:p w:rsidRDefault="006A1DAC" w:rsidR="006A1DAC">
      <w:pPr>
        <w:pStyle w:val="Standard"/>
        <w:spacing w:lineRule="auto" w:line="288"/>
        <w:jc w:val="both"/>
        <w:rPr>
          <w:rFonts w:hAnsi="Tahoma" w:ascii="Tahoma"/>
        </w:rPr>
      </w:pPr>
    </w:p>
    <w:p w:rsidRDefault="00CE66CE" w:rsidR="006A1DAC">
      <w:pPr>
        <w:pStyle w:val="Standard"/>
        <w:spacing w:lineRule="auto" w:line="288"/>
        <w:jc w:val="both"/>
        <w:rPr>
          <w:rFonts w:hAnsi="Tahoma" w:ascii="Tahoma"/>
        </w:rPr>
      </w:pPr>
      <w:r>
        <w:rPr>
          <w:rFonts w:hAnsi="Tahoma" w:ascii="Tahoma"/>
        </w:rPr>
        <w:t xml:space="preserve">U tijeku prethodnog postupka utvrđeno je da kod dužnika postoji stečajni razlog - nesposobnost za plaćanje, te da dužnik ima imovinu iz koje bi se mogli pokriti troškovi stečajnog postupka. Temeljem odredbi članka 128., 129. i 130. SZ-a sa danom 27. siječnja 2017. godine nad dužnikom SOLIS j.d.o.o., Ivana Generalića 3, Koprivnica, otvoren je stečajni postupak.    </w:t>
      </w:r>
    </w:p>
    <w:p w:rsidRDefault="006A1DAC" w:rsidR="006A1DAC">
      <w:pPr>
        <w:pStyle w:val="Standard"/>
        <w:spacing w:lineRule="auto" w:line="288"/>
        <w:jc w:val="center"/>
        <w:rPr>
          <w:rFonts w:hAnsi="Tahoma" w:ascii="Tahoma"/>
          <w:b/>
        </w:rPr>
      </w:pPr>
    </w:p>
    <w:p w:rsidRDefault="00CE66CE" w:rsidR="006A1DAC">
      <w:pPr>
        <w:pStyle w:val="Standard"/>
        <w:spacing w:lineRule="auto" w:line="288"/>
        <w:jc w:val="both"/>
        <w:rPr>
          <w:rFonts w:hAnsi="Tahoma" w:ascii="Tahoma"/>
          <w:lang w:val="pl-PL"/>
        </w:rPr>
      </w:pPr>
      <w:r>
        <w:rPr>
          <w:rFonts w:hAnsi="Tahoma" w:ascii="Tahoma"/>
          <w:lang w:val="pl-PL"/>
        </w:rPr>
        <w:t>Stečajni dužnik SOLIS j.d.o.o. registriran je kod Trgovačkog suda u Varaždinu, pod brojem MBS: 070126175. Osnovna djelatnost stečajnog dužnika bila je uzgoj ovaca i koza, šifre djelatnosti 0145 po NKD-u. Na dan otvaranja stečajnog postupka dužnik nije imao zaposlenih djelatnika.</w:t>
      </w:r>
    </w:p>
    <w:p w:rsidRDefault="006A1DAC" w:rsidR="006A1DAC">
      <w:pPr>
        <w:pStyle w:val="Standard"/>
        <w:spacing w:lineRule="auto" w:line="288"/>
        <w:jc w:val="both"/>
        <w:rPr>
          <w:rFonts w:hAnsi="Tahoma" w:ascii="Tahoma"/>
          <w:lang w:val="pl-PL"/>
        </w:rPr>
      </w:pPr>
    </w:p>
    <w:p w:rsidRDefault="00CE66CE" w:rsidR="006A1DAC">
      <w:pPr>
        <w:pStyle w:val="Standard"/>
        <w:spacing w:lineRule="auto" w:line="288"/>
        <w:jc w:val="both"/>
        <w:rPr>
          <w:rFonts w:hAnsi="Tahoma" w:ascii="Tahoma"/>
          <w:lang w:val="pl-PL"/>
        </w:rPr>
      </w:pPr>
      <w:r>
        <w:rPr>
          <w:rFonts w:hAnsi="Tahoma" w:ascii="Tahoma"/>
          <w:lang w:val="pl-PL"/>
        </w:rPr>
        <w:t xml:space="preserve">Oglas o otvaranju stečajnog postupka objavljen je na e-oglasnoj ploči suda 27. siječnja 2017. godine sa pozivom vjerovnicima radi prijava tražbina u stečajni postupak,  te poziv dužnikovim dužnicima da ispune svoje obveze prema stečajnom dužniku. Izvještajno i </w:t>
      </w:r>
      <w:r>
        <w:rPr>
          <w:rFonts w:hAnsi="Tahoma" w:ascii="Tahoma"/>
          <w:lang w:val="pl-PL"/>
        </w:rPr>
        <w:lastRenderedPageBreak/>
        <w:t>ispitno ročište zakazano je za dan 26. travnja 2017. godine.</w:t>
      </w:r>
    </w:p>
    <w:p w:rsidRDefault="006A1DAC" w:rsidR="006A1DAC">
      <w:pPr>
        <w:pStyle w:val="Standard"/>
        <w:spacing w:lineRule="auto" w:line="288"/>
        <w:jc w:val="both"/>
        <w:rPr>
          <w:rFonts w:hAnsi="Tahoma" w:ascii="Tahoma"/>
          <w:lang w:val="pl-PL"/>
        </w:rPr>
      </w:pPr>
    </w:p>
    <w:p w:rsidRDefault="00CE66CE" w:rsidR="006A1DAC">
      <w:pPr>
        <w:pStyle w:val="Standard"/>
        <w:jc w:val="both"/>
        <w:rPr>
          <w:rFonts w:hAnsi="Tahoma" w:ascii="Tahoma"/>
        </w:rPr>
      </w:pPr>
      <w:r>
        <w:rPr>
          <w:rFonts w:hAnsi="Tahoma" w:ascii="Tahoma"/>
        </w:rPr>
        <w:t>Prijave pristiglih tražbina (3), popis predmeta stečajne mase i pregled imovine i obveza stečajnog dužnika predane su u sudsku pisarnicu zajedno s ovim Izvješćem i Tabelama I i II Višeg isplatnog reda (I i II VIR).</w:t>
      </w:r>
    </w:p>
    <w:p w:rsidRDefault="006A1DAC" w:rsidR="006A1DAC">
      <w:pPr>
        <w:pStyle w:val="Standard"/>
        <w:jc w:val="both"/>
        <w:rPr>
          <w:rFonts w:hAnsi="Tahoma" w:ascii="Tahoma"/>
        </w:rPr>
      </w:pPr>
    </w:p>
    <w:p w:rsidRDefault="00CE66CE" w:rsidR="006A1DAC">
      <w:pPr>
        <w:pStyle w:val="Standard"/>
        <w:spacing w:lineRule="auto" w:line="288"/>
        <w:jc w:val="both"/>
        <w:rPr>
          <w:rFonts w:hAnsi="Tahoma" w:ascii="Tahoma"/>
          <w:lang w:val="pl-PL"/>
        </w:rPr>
      </w:pPr>
      <w:r>
        <w:rPr>
          <w:rFonts w:hAnsi="Tahoma" w:ascii="Tahoma"/>
          <w:lang w:val="pl-PL"/>
        </w:rPr>
        <w:t>Stečajni upravitelj preuzeo je dužnost  danom otvaranja stečajnog nakon čega su poduzete slijedeće radnje:</w:t>
      </w:r>
    </w:p>
    <w:p w:rsidRDefault="006A1DAC" w:rsidR="006A1DAC">
      <w:pPr>
        <w:pStyle w:val="Standard"/>
        <w:spacing w:lineRule="auto" w:line="288"/>
        <w:jc w:val="both"/>
        <w:rPr>
          <w:rFonts w:hAnsi="Tahoma" w:ascii="Tahoma"/>
          <w:lang w:val="pl-PL"/>
        </w:rPr>
      </w:pPr>
    </w:p>
    <w:p w:rsidRDefault="00CE66CE" w:rsidR="006A1DAC">
      <w:pPr>
        <w:pStyle w:val="Odlomakpopisa"/>
        <w:numPr>
          <w:ilvl w:val="0"/>
          <w:numId w:val="18"/>
        </w:numPr>
        <w:spacing w:lineRule="auto" w:line="288"/>
        <w:jc w:val="both"/>
        <w:rPr>
          <w:rFonts w:hAnsi="Tahoma" w:ascii="Tahoma"/>
          <w:lang w:val="pl-PL"/>
        </w:rPr>
      </w:pPr>
      <w:r>
        <w:rPr>
          <w:rFonts w:hAnsi="Tahoma" w:ascii="Tahoma"/>
          <w:lang w:val="pl-PL"/>
        </w:rPr>
        <w:t>preuzet je stari štambilj i izrađen je novi štambilj stečajnog dužnika s oznakom „u stečaju“,</w:t>
      </w:r>
    </w:p>
    <w:p w:rsidRDefault="00CE66CE" w:rsidR="006A1DAC">
      <w:pPr>
        <w:pStyle w:val="Odlomakpopisa"/>
        <w:numPr>
          <w:ilvl w:val="0"/>
          <w:numId w:val="2"/>
        </w:numPr>
        <w:spacing w:lineRule="auto" w:line="288"/>
        <w:ind w:hanging="357" w:left="714"/>
        <w:jc w:val="both"/>
        <w:rPr>
          <w:rFonts w:hAnsi="Tahoma" w:ascii="Tahoma"/>
        </w:rPr>
      </w:pPr>
      <w:r>
        <w:rPr>
          <w:rFonts w:hAnsi="Tahoma" w:ascii="Tahoma"/>
        </w:rPr>
        <w:t>otvoren je novi račun u Zagrebačkoj banci d.d. Čakovec,                                                                           IBAN HR0323600001102585639,</w:t>
      </w:r>
    </w:p>
    <w:p w:rsidRDefault="00CE66CE" w:rsidR="006A1DAC">
      <w:pPr>
        <w:pStyle w:val="Odlomakpopisa"/>
        <w:numPr>
          <w:ilvl w:val="0"/>
          <w:numId w:val="2"/>
        </w:numPr>
        <w:spacing w:lineRule="auto" w:line="288"/>
        <w:jc w:val="both"/>
        <w:rPr>
          <w:rFonts w:hAnsi="Tahoma" w:ascii="Tahoma"/>
          <w:lang w:val="pl-PL"/>
        </w:rPr>
      </w:pPr>
      <w:r>
        <w:rPr>
          <w:rFonts w:hAnsi="Tahoma" w:ascii="Tahoma"/>
          <w:lang w:val="pl-PL"/>
        </w:rPr>
        <w:t>poslana je obavijest Državnom zavodu za statistiku za razvrstavanje stečajnog dužnika po djelatnosti,</w:t>
      </w:r>
    </w:p>
    <w:p w:rsidRDefault="00CE66CE" w:rsidR="006A1DAC">
      <w:pPr>
        <w:pStyle w:val="Odlomakpopisa"/>
        <w:numPr>
          <w:ilvl w:val="0"/>
          <w:numId w:val="2"/>
        </w:numPr>
        <w:spacing w:lineRule="auto" w:line="288"/>
        <w:jc w:val="both"/>
        <w:rPr>
          <w:rFonts w:hAnsi="Tahoma" w:ascii="Tahoma"/>
          <w:lang w:val="pl-PL"/>
        </w:rPr>
      </w:pPr>
      <w:r>
        <w:rPr>
          <w:rFonts w:hAnsi="Tahoma" w:ascii="Tahoma"/>
          <w:lang w:val="pl-PL"/>
        </w:rPr>
        <w:t>od odgovorne osobe zatražena je dokumentacija stečajnog dužnika,</w:t>
      </w:r>
    </w:p>
    <w:p w:rsidRDefault="00CE66CE" w:rsidR="006A1DAC">
      <w:pPr>
        <w:pStyle w:val="Odlomakpopisa"/>
        <w:numPr>
          <w:ilvl w:val="0"/>
          <w:numId w:val="2"/>
        </w:numPr>
        <w:spacing w:lineRule="auto" w:line="288"/>
        <w:jc w:val="both"/>
        <w:rPr>
          <w:rFonts w:hAnsi="Tahoma" w:ascii="Tahoma"/>
          <w:lang w:val="pl-PL"/>
        </w:rPr>
      </w:pPr>
      <w:r>
        <w:rPr>
          <w:rFonts w:hAnsi="Tahoma" w:ascii="Tahoma"/>
          <w:lang w:val="pl-PL"/>
        </w:rPr>
        <w:t>sklopljen je ugovor o obavljanju knjigovodstvenih usluga sa društvom Biro plus d.o.o. iz Čakovca,</w:t>
      </w:r>
    </w:p>
    <w:p w:rsidRDefault="00CE66CE" w:rsidR="006A1DAC">
      <w:pPr>
        <w:pStyle w:val="Standard"/>
        <w:numPr>
          <w:ilvl w:val="0"/>
          <w:numId w:val="2"/>
        </w:numPr>
        <w:spacing w:lineRule="auto" w:line="288"/>
        <w:jc w:val="both"/>
        <w:rPr>
          <w:rFonts w:hAnsi="Tahoma" w:ascii="Tahoma"/>
        </w:rPr>
      </w:pPr>
      <w:r>
        <w:rPr>
          <w:rFonts w:hAnsi="Tahoma" w:ascii="Tahoma"/>
        </w:rPr>
        <w:t xml:space="preserve">izvršeni je pregled teretnog kombi vozila u </w:t>
      </w:r>
      <w:proofErr w:type="spellStart"/>
      <w:r>
        <w:rPr>
          <w:rFonts w:hAnsi="Tahoma" w:ascii="Tahoma"/>
        </w:rPr>
        <w:t>Carevdaru</w:t>
      </w:r>
      <w:proofErr w:type="spellEnd"/>
      <w:r>
        <w:rPr>
          <w:rFonts w:hAnsi="Tahoma" w:ascii="Tahoma"/>
        </w:rPr>
        <w:t xml:space="preserve"> (Križevci) i preuzeti su ključevi, dokumentacija vozila ne postoji,</w:t>
      </w:r>
    </w:p>
    <w:p w:rsidRDefault="00CE66CE" w:rsidR="006A1DAC">
      <w:pPr>
        <w:pStyle w:val="Standard"/>
        <w:numPr>
          <w:ilvl w:val="0"/>
          <w:numId w:val="2"/>
        </w:numPr>
        <w:spacing w:lineRule="auto" w:line="288"/>
        <w:jc w:val="both"/>
        <w:rPr>
          <w:rFonts w:hAnsi="Tahoma" w:ascii="Tahoma"/>
        </w:rPr>
      </w:pPr>
      <w:r>
        <w:rPr>
          <w:rFonts w:hAnsi="Tahoma" w:ascii="Tahoma"/>
        </w:rPr>
        <w:t>odjavljeno je vozilo u Policijskoj upravi Koprivničko - Križevačkoj jer nije bilo registrirano,</w:t>
      </w:r>
    </w:p>
    <w:p w:rsidRDefault="00CE66CE" w:rsidR="006A1DAC">
      <w:pPr>
        <w:pStyle w:val="Standard"/>
        <w:numPr>
          <w:ilvl w:val="0"/>
          <w:numId w:val="2"/>
        </w:numPr>
        <w:spacing w:lineRule="auto" w:line="288"/>
        <w:jc w:val="both"/>
        <w:rPr>
          <w:rFonts w:hAnsi="Tahoma" w:ascii="Tahoma"/>
        </w:rPr>
      </w:pPr>
      <w:r>
        <w:rPr>
          <w:rFonts w:hAnsi="Tahoma" w:ascii="Tahoma"/>
        </w:rPr>
        <w:t>poslana je opomena kupcu - dužnikovom dužniku - da ispuni svoje obaveze prema stečajnom dužniku,</w:t>
      </w:r>
    </w:p>
    <w:p w:rsidRDefault="00CE66CE" w:rsidR="006A1DAC">
      <w:pPr>
        <w:pStyle w:val="Standard"/>
        <w:numPr>
          <w:ilvl w:val="0"/>
          <w:numId w:val="2"/>
        </w:numPr>
        <w:spacing w:lineRule="auto" w:line="288"/>
        <w:jc w:val="both"/>
        <w:rPr>
          <w:rFonts w:hAnsi="Tahoma" w:ascii="Tahoma"/>
        </w:rPr>
      </w:pPr>
      <w:r>
        <w:rPr>
          <w:rFonts w:hAnsi="Tahoma" w:ascii="Tahoma"/>
        </w:rPr>
        <w:t>izrađena je početna stečajna bilanca</w:t>
      </w:r>
    </w:p>
    <w:p w:rsidRDefault="00CE66CE" w:rsidR="006A1DAC">
      <w:pPr>
        <w:pStyle w:val="Standard"/>
        <w:numPr>
          <w:ilvl w:val="0"/>
          <w:numId w:val="2"/>
        </w:numPr>
        <w:spacing w:lineRule="auto" w:line="288"/>
        <w:jc w:val="both"/>
        <w:rPr>
          <w:rFonts w:hAnsi="Tahoma" w:ascii="Tahoma"/>
        </w:rPr>
      </w:pPr>
      <w:r>
        <w:rPr>
          <w:rFonts w:hAnsi="Tahoma" w:ascii="Tahoma"/>
        </w:rPr>
        <w:t>obrađene su tražbine vjerovnika viših isplatnih redova i sastavljene su tablice prema isplatnim redovima (I i II Viši isplatni red – I i II VIR)</w:t>
      </w:r>
    </w:p>
    <w:p w:rsidRDefault="00CE66CE" w:rsidR="006A1DAC">
      <w:pPr>
        <w:pStyle w:val="Standard"/>
        <w:spacing w:lineRule="auto" w:line="288"/>
        <w:jc w:val="both"/>
        <w:rPr>
          <w:rFonts w:hAnsi="Tahoma" w:ascii="Tahoma"/>
        </w:rPr>
      </w:pPr>
      <w:r>
        <w:rPr>
          <w:rFonts w:hAnsi="Tahoma" w:ascii="Tahoma"/>
        </w:rPr>
        <w:t xml:space="preserve">    </w:t>
      </w:r>
    </w:p>
    <w:p w:rsidRDefault="006A1DAC" w:rsidR="006A1DAC">
      <w:pPr>
        <w:pStyle w:val="Standard"/>
        <w:spacing w:lineRule="auto" w:line="288"/>
        <w:ind w:left="360"/>
        <w:jc w:val="both"/>
        <w:rPr>
          <w:rFonts w:hAnsi="Tahoma" w:ascii="Tahoma"/>
          <w:lang w:val="pl-PL"/>
        </w:rPr>
      </w:pPr>
    </w:p>
    <w:p w:rsidRDefault="00CE66CE" w:rsidR="006A1DAC">
      <w:pPr>
        <w:pStyle w:val="Standard"/>
        <w:spacing w:lineRule="auto" w:line="288"/>
        <w:jc w:val="both"/>
        <w:rPr>
          <w:rFonts w:hAnsi="Tahoma" w:ascii="Tahoma"/>
          <w:b/>
          <w:bCs/>
          <w:u w:val="single"/>
          <w:lang w:val="pl-PL"/>
        </w:rPr>
      </w:pPr>
      <w:r>
        <w:rPr>
          <w:rFonts w:hAnsi="Tahoma" w:ascii="Tahoma"/>
          <w:b/>
          <w:bCs/>
          <w:u w:val="single"/>
          <w:lang w:val="pl-PL"/>
        </w:rPr>
        <w:t>II Stanje stečajne mase</w:t>
      </w:r>
    </w:p>
    <w:p w:rsidRDefault="006A1DAC" w:rsidR="006A1DAC">
      <w:pPr>
        <w:pStyle w:val="Standard"/>
        <w:spacing w:lineRule="auto" w:line="288"/>
        <w:jc w:val="both"/>
        <w:rPr>
          <w:rFonts w:hAnsi="Tahoma" w:ascii="Tahoma"/>
        </w:rPr>
      </w:pPr>
    </w:p>
    <w:p w:rsidRDefault="00CE66CE" w:rsidR="006A1DAC">
      <w:pPr>
        <w:pStyle w:val="Standard"/>
        <w:spacing w:lineRule="auto" w:line="288"/>
        <w:jc w:val="both"/>
        <w:rPr>
          <w:rFonts w:hAnsi="Tahoma" w:ascii="Tahoma"/>
          <w:iCs/>
        </w:rPr>
      </w:pPr>
      <w:r>
        <w:rPr>
          <w:rFonts w:hAnsi="Tahoma" w:ascii="Tahoma"/>
          <w:iCs/>
        </w:rPr>
        <w:t xml:space="preserve">Prema odredbi čl. 223. Stečajnog zakona od odgovorne osobe i bivšeg direktora stečajnog dužnika Lazara Matića pribavljena je potrebna dokumentacija i to od knjigovodstvenog servisa  BAJER d.o.o. iz Koprivnice, (bruto bilance za 2015.,2016., bruto bilanca od 01.01.2017. do 27.01.2017. godine, kartice glavne knjige, kartica inventara,  financijska izvješća za 2015,2016. i 27.01.2017., otvorene stavke svih potraživanja i obveza na dan 27.01.2017., i dr.). </w:t>
      </w:r>
      <w:proofErr w:type="spellStart"/>
      <w:r>
        <w:rPr>
          <w:rFonts w:hAnsi="Tahoma" w:ascii="Tahoma"/>
          <w:iCs/>
        </w:rPr>
        <w:t>Bajer</w:t>
      </w:r>
      <w:proofErr w:type="spellEnd"/>
      <w:r>
        <w:rPr>
          <w:rFonts w:hAnsi="Tahoma" w:ascii="Tahoma"/>
          <w:iCs/>
        </w:rPr>
        <w:t xml:space="preserve"> d.o.o. vodio je poslovne knjige stečajnog dužnika.</w:t>
      </w:r>
    </w:p>
    <w:p w:rsidRDefault="006A1DAC" w:rsidR="006A1DAC">
      <w:pPr>
        <w:pStyle w:val="Standard"/>
        <w:spacing w:lineRule="auto" w:line="288"/>
        <w:jc w:val="both"/>
        <w:rPr>
          <w:rFonts w:hAnsi="Tahoma" w:ascii="Tahoma"/>
          <w:b/>
          <w:iCs/>
          <w:u w:val="single"/>
        </w:rPr>
      </w:pPr>
    </w:p>
    <w:p w:rsidRDefault="00CE66CE" w:rsidR="006A1DAC">
      <w:pPr>
        <w:pStyle w:val="Standard"/>
        <w:spacing w:lineRule="auto" w:line="288"/>
        <w:jc w:val="both"/>
        <w:rPr>
          <w:rFonts w:hAnsi="Tahoma" w:ascii="Tahoma"/>
          <w:b/>
          <w:iCs/>
          <w:u w:val="single"/>
        </w:rPr>
      </w:pPr>
      <w:r>
        <w:rPr>
          <w:rFonts w:hAnsi="Tahoma" w:ascii="Tahoma"/>
          <w:b/>
          <w:iCs/>
          <w:u w:val="single"/>
        </w:rPr>
        <w:t>Utvrđena početna stečajna bilanca</w:t>
      </w:r>
    </w:p>
    <w:p w:rsidRDefault="006A1DAC" w:rsidR="006A1DAC">
      <w:pPr>
        <w:pStyle w:val="Standard"/>
        <w:spacing w:lineRule="auto" w:line="288"/>
        <w:jc w:val="both"/>
        <w:rPr>
          <w:rFonts w:hAnsi="Tahoma" w:ascii="Tahoma"/>
          <w:iCs/>
        </w:rPr>
      </w:pPr>
    </w:p>
    <w:p w:rsidRDefault="00CE66CE" w:rsidR="006A1DAC">
      <w:pPr>
        <w:pStyle w:val="Standard"/>
        <w:spacing w:lineRule="auto" w:line="288"/>
        <w:jc w:val="both"/>
      </w:pPr>
      <w:r>
        <w:rPr>
          <w:rFonts w:hAnsi="Tahoma" w:ascii="Tahoma"/>
          <w:iCs/>
        </w:rPr>
        <w:t>Poslije analize dostavljene dokumentacije, izrađena je početna stečajna bilanca (čl. 227. SZ-a) s iskazanim stanjem imovine u iznosu od 4.450,00 kn</w:t>
      </w:r>
      <w:r>
        <w:rPr>
          <w:rFonts w:hAnsi="Tahoma" w:ascii="Tahoma"/>
          <w:iCs/>
          <w:color w:val="FF0000"/>
        </w:rPr>
        <w:t xml:space="preserve"> </w:t>
      </w:r>
      <w:r>
        <w:rPr>
          <w:rFonts w:hAnsi="Tahoma" w:ascii="Tahoma"/>
          <w:iCs/>
        </w:rPr>
        <w:t xml:space="preserve">i obveza u iznosu od </w:t>
      </w:r>
      <w:r>
        <w:rPr>
          <w:rFonts w:hAnsi="Tahoma" w:ascii="Tahoma"/>
          <w:iCs/>
        </w:rPr>
        <w:lastRenderedPageBreak/>
        <w:t>13.781,77</w:t>
      </w:r>
      <w:r>
        <w:rPr>
          <w:rFonts w:hAnsi="Tahoma" w:ascii="Tahoma"/>
          <w:b/>
          <w:iCs/>
        </w:rPr>
        <w:t>,</w:t>
      </w:r>
      <w:r>
        <w:rPr>
          <w:rFonts w:hAnsi="Tahoma" w:ascii="Tahoma"/>
          <w:iCs/>
        </w:rPr>
        <w:t xml:space="preserve"> a kako je prikazano  u Tabeli 1.</w:t>
      </w:r>
    </w:p>
    <w:p w:rsidRDefault="006A1DAC" w:rsidR="006A1DAC">
      <w:pPr>
        <w:pStyle w:val="Standard"/>
        <w:spacing w:lineRule="auto" w:line="288"/>
        <w:jc w:val="both"/>
        <w:rPr>
          <w:rFonts w:hAnsi="Tahoma" w:ascii="Tahoma"/>
          <w:b/>
          <w:bCs/>
          <w:color w:val="FF0000"/>
        </w:rPr>
      </w:pPr>
    </w:p>
    <w:p w:rsidRDefault="00CE66CE" w:rsidR="006A1DAC">
      <w:pPr>
        <w:pStyle w:val="Standard"/>
        <w:spacing w:lineRule="auto" w:line="288"/>
        <w:jc w:val="both"/>
        <w:rPr>
          <w:rFonts w:hAnsi="Tahoma" w:ascii="Tahoma"/>
          <w:bCs/>
          <w:i/>
        </w:rPr>
      </w:pPr>
      <w:r>
        <w:rPr>
          <w:rFonts w:hAnsi="Tahoma" w:ascii="Tahoma"/>
          <w:bCs/>
          <w:i/>
        </w:rPr>
        <w:t>Tabela 1.</w:t>
      </w:r>
    </w:p>
    <w:tbl>
      <w:tblPr>
        <w:tblW w:type="dxa" w:w="10064"/>
        <w:jc w:val="center"/>
        <w:tblLayout w:type="fixed"/>
        <w:tblCellMar>
          <w:left w:type="dxa" w:w="10"/>
          <w:right w:type="dxa" w:w="10"/>
        </w:tblCellMar>
        <w:tblLook w:val="0000" w:noVBand="0" w:noHBand="0" w:lastColumn="0" w:firstColumn="0" w:lastRow="0" w:firstRow="0"/>
      </w:tblPr>
      <w:tblGrid>
        <w:gridCol w:w="566"/>
        <w:gridCol w:w="4020"/>
        <w:gridCol w:w="2364"/>
        <w:gridCol w:w="3114"/>
      </w:tblGrid>
      <w:tr w:rsidR="006A1DAC">
        <w:trPr>
          <w:trHeight w:val="275"/>
          <w:jc w:val="center"/>
        </w:trPr>
        <w:tc>
          <w:tcPr>
            <w:tcW w:type="dxa" w:w="566"/>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both"/>
              <w:rPr>
                <w:rFonts w:hAnsi="Tahoma" w:ascii="Tahoma"/>
                <w:b/>
                <w:iCs/>
              </w:rPr>
            </w:pPr>
            <w:r>
              <w:rPr>
                <w:rFonts w:hAnsi="Tahoma" w:ascii="Tahoma"/>
                <w:b/>
                <w:iCs/>
              </w:rPr>
              <w:t>R.</w:t>
            </w:r>
          </w:p>
          <w:p w:rsidRDefault="00CE66CE" w:rsidR="006A1DAC">
            <w:pPr>
              <w:pStyle w:val="Standard"/>
              <w:jc w:val="both"/>
              <w:rPr>
                <w:rFonts w:hAnsi="Tahoma" w:ascii="Tahoma"/>
                <w:b/>
                <w:iCs/>
              </w:rPr>
            </w:pPr>
            <w:proofErr w:type="spellStart"/>
            <w:r>
              <w:rPr>
                <w:rFonts w:hAnsi="Tahoma" w:ascii="Tahoma"/>
                <w:b/>
                <w:iCs/>
              </w:rPr>
              <w:t>br</w:t>
            </w:r>
            <w:proofErr w:type="spellEnd"/>
          </w:p>
        </w:tc>
        <w:tc>
          <w:tcPr>
            <w:tcW w:type="dxa" w:w="402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center"/>
              <w:rPr>
                <w:rFonts w:hAnsi="Tahoma" w:ascii="Tahoma"/>
                <w:b/>
                <w:iCs/>
                <w:sz w:val="22"/>
                <w:szCs w:val="22"/>
              </w:rPr>
            </w:pPr>
            <w:r>
              <w:rPr>
                <w:rFonts w:hAnsi="Tahoma" w:ascii="Tahoma"/>
                <w:b/>
                <w:iCs/>
                <w:sz w:val="22"/>
                <w:szCs w:val="22"/>
              </w:rPr>
              <w:t>Opis imovine</w:t>
            </w:r>
          </w:p>
        </w:tc>
        <w:tc>
          <w:tcPr>
            <w:tcW w:type="dxa" w:w="2364"/>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center"/>
              <w:rPr>
                <w:rFonts w:hAnsi="Tahoma" w:ascii="Tahoma"/>
                <w:b/>
                <w:sz w:val="22"/>
                <w:szCs w:val="22"/>
              </w:rPr>
            </w:pPr>
            <w:r>
              <w:rPr>
                <w:rFonts w:hAnsi="Tahoma" w:ascii="Tahoma"/>
                <w:b/>
                <w:sz w:val="22"/>
                <w:szCs w:val="22"/>
              </w:rPr>
              <w:t>Knjigovodstvena</w:t>
            </w:r>
          </w:p>
          <w:p w:rsidRDefault="00CE66CE" w:rsidR="006A1DAC">
            <w:pPr>
              <w:pStyle w:val="Standard"/>
              <w:jc w:val="center"/>
              <w:rPr>
                <w:rFonts w:hAnsi="Tahoma" w:ascii="Tahoma"/>
                <w:b/>
                <w:sz w:val="22"/>
                <w:szCs w:val="22"/>
              </w:rPr>
            </w:pPr>
            <w:r>
              <w:rPr>
                <w:rFonts w:hAnsi="Tahoma" w:ascii="Tahoma"/>
                <w:b/>
                <w:sz w:val="22"/>
                <w:szCs w:val="22"/>
              </w:rPr>
              <w:t>vrijednost po bilanci na dan 26.01.2017.</w:t>
            </w:r>
          </w:p>
        </w:tc>
        <w:tc>
          <w:tcPr>
            <w:tcW w:type="dxa" w:w="3114"/>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center"/>
              <w:rPr>
                <w:rFonts w:hAnsi="Tahoma" w:ascii="Tahoma"/>
                <w:b/>
                <w:sz w:val="22"/>
                <w:szCs w:val="22"/>
              </w:rPr>
            </w:pPr>
            <w:r>
              <w:rPr>
                <w:rFonts w:hAnsi="Tahoma" w:ascii="Tahoma"/>
                <w:b/>
                <w:sz w:val="22"/>
                <w:szCs w:val="22"/>
              </w:rPr>
              <w:t>Vrijednost iskazana u početnoj stečajnoj bilanci na dan 27.01.2017.</w:t>
            </w:r>
          </w:p>
        </w:tc>
      </w:tr>
      <w:tr w:rsidR="006A1DAC">
        <w:trPr>
          <w:trHeight w:val="340"/>
          <w:jc w:val="center"/>
        </w:trPr>
        <w:tc>
          <w:tcPr>
            <w:tcW w:type="dxa" w:w="56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1.</w:t>
            </w:r>
          </w:p>
        </w:tc>
        <w:tc>
          <w:tcPr>
            <w:tcW w:type="dxa" w:w="402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rPr>
                <w:rFonts w:hAnsi="Tahoma" w:ascii="Tahoma"/>
                <w:sz w:val="22"/>
                <w:szCs w:val="22"/>
              </w:rPr>
            </w:pPr>
            <w:r>
              <w:rPr>
                <w:rFonts w:hAnsi="Tahoma" w:ascii="Tahoma"/>
                <w:sz w:val="22"/>
                <w:szCs w:val="22"/>
              </w:rPr>
              <w:t>Pokretnine - transportno vozilo</w:t>
            </w:r>
          </w:p>
        </w:tc>
        <w:tc>
          <w:tcPr>
            <w:tcW w:type="dxa" w:w="236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1.250,00</w:t>
            </w:r>
          </w:p>
        </w:tc>
        <w:tc>
          <w:tcPr>
            <w:tcW w:type="dxa" w:w="311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1.250,00</w:t>
            </w:r>
          </w:p>
        </w:tc>
      </w:tr>
      <w:tr w:rsidR="006A1DAC">
        <w:trPr>
          <w:trHeight w:val="340"/>
          <w:jc w:val="center"/>
        </w:trPr>
        <w:tc>
          <w:tcPr>
            <w:tcW w:type="dxa" w:w="56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2.</w:t>
            </w:r>
          </w:p>
        </w:tc>
        <w:tc>
          <w:tcPr>
            <w:tcW w:type="dxa" w:w="402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both"/>
              <w:rPr>
                <w:rFonts w:hAnsi="Tahoma" w:ascii="Tahoma"/>
                <w:sz w:val="22"/>
                <w:szCs w:val="22"/>
              </w:rPr>
            </w:pPr>
            <w:r>
              <w:rPr>
                <w:rFonts w:hAnsi="Tahoma" w:ascii="Tahoma"/>
                <w:sz w:val="22"/>
                <w:szCs w:val="22"/>
              </w:rPr>
              <w:t>Potraživanja od kupaca</w:t>
            </w:r>
          </w:p>
        </w:tc>
        <w:tc>
          <w:tcPr>
            <w:tcW w:type="dxa" w:w="236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3.200,00</w:t>
            </w:r>
          </w:p>
        </w:tc>
        <w:tc>
          <w:tcPr>
            <w:tcW w:type="dxa" w:w="311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3.200,00</w:t>
            </w:r>
          </w:p>
        </w:tc>
      </w:tr>
      <w:tr w:rsidR="006A1DAC">
        <w:trPr>
          <w:trHeight w:val="397"/>
          <w:jc w:val="center"/>
        </w:trPr>
        <w:tc>
          <w:tcPr>
            <w:tcW w:type="dxa" w:w="566"/>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right"/>
              <w:rPr>
                <w:rFonts w:hAnsi="Tahoma" w:ascii="Tahoma"/>
                <w:b/>
                <w:iCs/>
                <w:sz w:val="22"/>
                <w:szCs w:val="22"/>
              </w:rPr>
            </w:pPr>
            <w:r>
              <w:rPr>
                <w:rFonts w:hAnsi="Tahoma" w:ascii="Tahoma"/>
                <w:b/>
                <w:iCs/>
                <w:sz w:val="22"/>
                <w:szCs w:val="22"/>
              </w:rPr>
              <w:t>A)</w:t>
            </w:r>
          </w:p>
        </w:tc>
        <w:tc>
          <w:tcPr>
            <w:tcW w:type="dxa" w:w="402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both"/>
              <w:rPr>
                <w:rFonts w:hAnsi="Tahoma" w:ascii="Tahoma"/>
                <w:b/>
                <w:iCs/>
                <w:sz w:val="22"/>
                <w:szCs w:val="22"/>
              </w:rPr>
            </w:pPr>
            <w:r>
              <w:rPr>
                <w:rFonts w:hAnsi="Tahoma" w:ascii="Tahoma"/>
                <w:b/>
                <w:iCs/>
                <w:sz w:val="22"/>
                <w:szCs w:val="22"/>
              </w:rPr>
              <w:t>IMOVINA (r.br. 1+2)</w:t>
            </w:r>
          </w:p>
        </w:tc>
        <w:tc>
          <w:tcPr>
            <w:tcW w:type="dxa" w:w="2364"/>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right"/>
              <w:rPr>
                <w:rFonts w:hAnsi="Tahoma" w:ascii="Tahoma"/>
                <w:b/>
              </w:rPr>
            </w:pPr>
            <w:r>
              <w:rPr>
                <w:rFonts w:hAnsi="Tahoma" w:ascii="Tahoma"/>
                <w:b/>
              </w:rPr>
              <w:t>4.450,00</w:t>
            </w:r>
          </w:p>
        </w:tc>
        <w:tc>
          <w:tcPr>
            <w:tcW w:type="dxa" w:w="3114"/>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right"/>
              <w:rPr>
                <w:rFonts w:hAnsi="Tahoma" w:ascii="Tahoma"/>
                <w:b/>
              </w:rPr>
            </w:pPr>
            <w:r>
              <w:rPr>
                <w:rFonts w:hAnsi="Tahoma" w:ascii="Tahoma"/>
                <w:b/>
              </w:rPr>
              <w:t>4.450,00</w:t>
            </w:r>
          </w:p>
        </w:tc>
      </w:tr>
      <w:tr w:rsidR="006A1DAC">
        <w:trPr>
          <w:trHeight w:val="340"/>
          <w:jc w:val="center"/>
        </w:trPr>
        <w:tc>
          <w:tcPr>
            <w:tcW w:type="dxa" w:w="56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1.</w:t>
            </w:r>
          </w:p>
        </w:tc>
        <w:tc>
          <w:tcPr>
            <w:tcW w:type="dxa" w:w="402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rPr>
                <w:rFonts w:hAnsi="Tahoma" w:ascii="Tahoma"/>
                <w:sz w:val="22"/>
                <w:szCs w:val="22"/>
              </w:rPr>
            </w:pPr>
            <w:r>
              <w:rPr>
                <w:rFonts w:hAnsi="Tahoma" w:ascii="Tahoma"/>
                <w:sz w:val="22"/>
                <w:szCs w:val="22"/>
              </w:rPr>
              <w:t>Obveze za poreze i doprinose</w:t>
            </w:r>
          </w:p>
        </w:tc>
        <w:tc>
          <w:tcPr>
            <w:tcW w:type="dxa" w:w="236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10.926,87</w:t>
            </w:r>
          </w:p>
        </w:tc>
        <w:tc>
          <w:tcPr>
            <w:tcW w:type="dxa" w:w="311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10.162,76</w:t>
            </w:r>
          </w:p>
        </w:tc>
      </w:tr>
      <w:tr w:rsidR="006A1DAC">
        <w:trPr>
          <w:trHeight w:val="340"/>
          <w:jc w:val="center"/>
        </w:trPr>
        <w:tc>
          <w:tcPr>
            <w:tcW w:type="dxa" w:w="56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2.</w:t>
            </w:r>
          </w:p>
        </w:tc>
        <w:tc>
          <w:tcPr>
            <w:tcW w:type="dxa" w:w="402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rPr>
                <w:rFonts w:hAnsi="Tahoma" w:ascii="Tahoma"/>
                <w:sz w:val="22"/>
                <w:szCs w:val="22"/>
              </w:rPr>
            </w:pPr>
            <w:r>
              <w:rPr>
                <w:rFonts w:hAnsi="Tahoma" w:ascii="Tahoma"/>
                <w:sz w:val="22"/>
                <w:szCs w:val="22"/>
              </w:rPr>
              <w:t xml:space="preserve">Obveze prema dobavljačima         </w:t>
            </w:r>
          </w:p>
        </w:tc>
        <w:tc>
          <w:tcPr>
            <w:tcW w:type="dxa" w:w="236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16.683,91</w:t>
            </w:r>
          </w:p>
        </w:tc>
        <w:tc>
          <w:tcPr>
            <w:tcW w:type="dxa" w:w="311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3.619,01</w:t>
            </w:r>
          </w:p>
        </w:tc>
      </w:tr>
      <w:tr w:rsidR="006A1DAC">
        <w:trPr>
          <w:trHeight w:val="340"/>
          <w:jc w:val="center"/>
        </w:trPr>
        <w:tc>
          <w:tcPr>
            <w:tcW w:type="dxa" w:w="56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3.</w:t>
            </w:r>
          </w:p>
        </w:tc>
        <w:tc>
          <w:tcPr>
            <w:tcW w:type="dxa" w:w="402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rPr>
                <w:rFonts w:hAnsi="Tahoma" w:ascii="Tahoma"/>
                <w:sz w:val="22"/>
                <w:szCs w:val="22"/>
              </w:rPr>
            </w:pPr>
            <w:r>
              <w:rPr>
                <w:rFonts w:hAnsi="Tahoma" w:ascii="Tahoma"/>
                <w:sz w:val="22"/>
                <w:szCs w:val="22"/>
              </w:rPr>
              <w:t>Obveze za kratkoročne pozajmice</w:t>
            </w:r>
          </w:p>
        </w:tc>
        <w:tc>
          <w:tcPr>
            <w:tcW w:type="dxa" w:w="236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4.490,00</w:t>
            </w:r>
          </w:p>
        </w:tc>
        <w:tc>
          <w:tcPr>
            <w:tcW w:type="dxa" w:w="311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CE66CE" w:rsidR="006A1DAC">
            <w:pPr>
              <w:pStyle w:val="Standard"/>
              <w:jc w:val="right"/>
              <w:rPr>
                <w:rFonts w:hAnsi="Tahoma" w:ascii="Tahoma"/>
                <w:sz w:val="22"/>
                <w:szCs w:val="22"/>
              </w:rPr>
            </w:pPr>
            <w:r>
              <w:rPr>
                <w:rFonts w:hAnsi="Tahoma" w:ascii="Tahoma"/>
                <w:sz w:val="22"/>
                <w:szCs w:val="22"/>
              </w:rPr>
              <w:t>0,00</w:t>
            </w:r>
          </w:p>
        </w:tc>
      </w:tr>
      <w:tr w:rsidR="006A1DAC">
        <w:trPr>
          <w:trHeight w:val="397"/>
          <w:jc w:val="center"/>
        </w:trPr>
        <w:tc>
          <w:tcPr>
            <w:tcW w:type="dxa" w:w="566"/>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right"/>
              <w:rPr>
                <w:rFonts w:hAnsi="Tahoma" w:ascii="Tahoma"/>
                <w:b/>
                <w:sz w:val="22"/>
                <w:szCs w:val="22"/>
              </w:rPr>
            </w:pPr>
            <w:r>
              <w:rPr>
                <w:rFonts w:hAnsi="Tahoma" w:ascii="Tahoma"/>
                <w:b/>
                <w:sz w:val="22"/>
                <w:szCs w:val="22"/>
              </w:rPr>
              <w:t>B)</w:t>
            </w:r>
          </w:p>
        </w:tc>
        <w:tc>
          <w:tcPr>
            <w:tcW w:type="dxa" w:w="402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both"/>
              <w:rPr>
                <w:rFonts w:hAnsi="Tahoma" w:ascii="Tahoma"/>
                <w:b/>
                <w:sz w:val="22"/>
                <w:szCs w:val="22"/>
              </w:rPr>
            </w:pPr>
            <w:r>
              <w:rPr>
                <w:rFonts w:hAnsi="Tahoma" w:ascii="Tahoma"/>
                <w:b/>
                <w:sz w:val="22"/>
                <w:szCs w:val="22"/>
              </w:rPr>
              <w:t>OBVEZE (r.br. 1+2+3)</w:t>
            </w:r>
          </w:p>
        </w:tc>
        <w:tc>
          <w:tcPr>
            <w:tcW w:type="dxa" w:w="2364"/>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right"/>
              <w:rPr>
                <w:rFonts w:hAnsi="Tahoma" w:ascii="Tahoma"/>
                <w:b/>
                <w:sz w:val="22"/>
                <w:szCs w:val="22"/>
              </w:rPr>
            </w:pPr>
            <w:r>
              <w:rPr>
                <w:rFonts w:hAnsi="Tahoma" w:ascii="Tahoma"/>
                <w:b/>
                <w:sz w:val="22"/>
                <w:szCs w:val="22"/>
              </w:rPr>
              <w:t>32.100,78</w:t>
            </w:r>
          </w:p>
        </w:tc>
        <w:tc>
          <w:tcPr>
            <w:tcW w:type="dxa" w:w="3114"/>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E66CE" w:rsidR="006A1DAC">
            <w:pPr>
              <w:pStyle w:val="Standard"/>
              <w:jc w:val="right"/>
              <w:rPr>
                <w:rFonts w:hAnsi="Tahoma" w:ascii="Tahoma"/>
                <w:b/>
                <w:sz w:val="22"/>
                <w:szCs w:val="22"/>
              </w:rPr>
            </w:pPr>
            <w:r>
              <w:rPr>
                <w:rFonts w:hAnsi="Tahoma" w:ascii="Tahoma"/>
                <w:b/>
                <w:sz w:val="22"/>
                <w:szCs w:val="22"/>
              </w:rPr>
              <w:t>13.781,77</w:t>
            </w:r>
          </w:p>
        </w:tc>
      </w:tr>
    </w:tbl>
    <w:p w:rsidRDefault="006A1DAC" w:rsidR="006A1DAC">
      <w:pPr>
        <w:pStyle w:val="Standard"/>
        <w:spacing w:lineRule="auto" w:line="288"/>
        <w:ind w:left="720"/>
        <w:jc w:val="both"/>
        <w:rPr>
          <w:rFonts w:cs="Calibri" w:hAnsi="Calibri" w:ascii="Calibri"/>
        </w:rPr>
      </w:pPr>
    </w:p>
    <w:p w:rsidRDefault="006A1DAC" w:rsidR="006A1DAC">
      <w:pPr>
        <w:pStyle w:val="Standard"/>
        <w:spacing w:lineRule="auto" w:line="288"/>
        <w:ind w:left="360"/>
        <w:jc w:val="both"/>
        <w:rPr>
          <w:rFonts w:hAnsi="Tahoma" w:ascii="Tahoma"/>
          <w:b/>
        </w:rPr>
      </w:pPr>
    </w:p>
    <w:p w:rsidRDefault="00CE66CE" w:rsidR="006A1DAC">
      <w:pPr>
        <w:pStyle w:val="Standard"/>
        <w:spacing w:lineRule="auto" w:line="288"/>
        <w:ind w:left="360"/>
        <w:jc w:val="both"/>
        <w:rPr>
          <w:rFonts w:hAnsi="Tahoma" w:ascii="Tahoma"/>
          <w:b/>
        </w:rPr>
      </w:pPr>
      <w:r>
        <w:rPr>
          <w:rFonts w:hAnsi="Tahoma" w:ascii="Tahoma"/>
          <w:b/>
        </w:rPr>
        <w:t>A ) IMOVINA</w:t>
      </w:r>
    </w:p>
    <w:p w:rsidRDefault="006A1DAC" w:rsidR="006A1DAC">
      <w:pPr>
        <w:pStyle w:val="Standard"/>
        <w:spacing w:lineRule="auto" w:line="288"/>
        <w:jc w:val="both"/>
        <w:rPr>
          <w:rFonts w:hAnsi="Tahoma" w:ascii="Tahoma"/>
        </w:rPr>
      </w:pPr>
    </w:p>
    <w:p w:rsidRDefault="00CE66CE" w:rsidR="006A1DAC">
      <w:pPr>
        <w:pStyle w:val="Standard"/>
        <w:spacing w:lineRule="auto" w:line="288"/>
        <w:jc w:val="both"/>
      </w:pPr>
      <w:r>
        <w:rPr>
          <w:rFonts w:hAnsi="Tahoma" w:ascii="Tahoma"/>
        </w:rPr>
        <w:t xml:space="preserve">U početnoj bilanci stečajnog dužnika imovina se iskazuje u iznosu od </w:t>
      </w:r>
      <w:r>
        <w:rPr>
          <w:rFonts w:hAnsi="Tahoma" w:ascii="Tahoma"/>
          <w:b/>
        </w:rPr>
        <w:t>4.450,00 kn</w:t>
      </w:r>
      <w:r>
        <w:rPr>
          <w:rFonts w:hAnsi="Tahoma" w:ascii="Tahoma"/>
        </w:rPr>
        <w:t xml:space="preserve"> i to pokretnine i potraživanja od kupaca.</w:t>
      </w:r>
    </w:p>
    <w:p w:rsidRDefault="006A1DAC" w:rsidR="006A1DAC">
      <w:pPr>
        <w:pStyle w:val="Standard"/>
        <w:spacing w:lineRule="auto" w:line="288"/>
        <w:jc w:val="both"/>
        <w:rPr>
          <w:rFonts w:hAnsi="Tahoma" w:ascii="Tahoma"/>
          <w:b/>
          <w:bCs/>
          <w:iCs/>
          <w:u w:val="single"/>
        </w:rPr>
      </w:pPr>
    </w:p>
    <w:p w:rsidRDefault="00CE66CE" w:rsidR="006A1DAC">
      <w:pPr>
        <w:pStyle w:val="Odlomakpopisa"/>
        <w:numPr>
          <w:ilvl w:val="0"/>
          <w:numId w:val="19"/>
        </w:numPr>
        <w:spacing w:lineRule="auto" w:line="288"/>
        <w:jc w:val="both"/>
        <w:rPr>
          <w:rFonts w:hAnsi="Tahoma" w:ascii="Tahoma"/>
          <w:b/>
          <w:bCs/>
          <w:iCs/>
          <w:u w:val="single"/>
        </w:rPr>
      </w:pPr>
      <w:r>
        <w:rPr>
          <w:rFonts w:hAnsi="Tahoma" w:ascii="Tahoma"/>
          <w:b/>
          <w:bCs/>
          <w:iCs/>
          <w:u w:val="single"/>
        </w:rPr>
        <w:t>Pokretnine</w:t>
      </w:r>
    </w:p>
    <w:p w:rsidRDefault="006A1DAC" w:rsidR="006A1DAC">
      <w:pPr>
        <w:pStyle w:val="Standard"/>
        <w:spacing w:lineRule="auto" w:line="288"/>
        <w:jc w:val="both"/>
        <w:rPr>
          <w:rFonts w:hAnsi="Tahoma" w:ascii="Tahoma"/>
          <w:b/>
          <w:bCs/>
          <w:iCs/>
          <w:u w:val="single"/>
        </w:rPr>
      </w:pPr>
    </w:p>
    <w:p w:rsidRDefault="00CE66CE" w:rsidR="006A1DAC">
      <w:pPr>
        <w:pStyle w:val="Standard"/>
        <w:spacing w:lineRule="auto" w:line="288"/>
        <w:jc w:val="both"/>
        <w:rPr>
          <w:rFonts w:hAnsi="Tahoma" w:ascii="Tahoma"/>
        </w:rPr>
      </w:pPr>
      <w:r>
        <w:rPr>
          <w:rFonts w:hAnsi="Tahoma" w:ascii="Tahoma"/>
        </w:rPr>
        <w:t xml:space="preserve">Teretno vozilo marke </w:t>
      </w:r>
      <w:proofErr w:type="spellStart"/>
      <w:r>
        <w:rPr>
          <w:rFonts w:hAnsi="Tahoma" w:ascii="Tahoma"/>
        </w:rPr>
        <w:t>citroen</w:t>
      </w:r>
      <w:proofErr w:type="spellEnd"/>
      <w:r>
        <w:rPr>
          <w:rFonts w:hAnsi="Tahoma" w:ascii="Tahoma"/>
        </w:rPr>
        <w:t xml:space="preserve"> </w:t>
      </w:r>
      <w:proofErr w:type="spellStart"/>
      <w:r>
        <w:rPr>
          <w:rFonts w:hAnsi="Tahoma" w:ascii="Tahoma"/>
        </w:rPr>
        <w:t>Berlingo</w:t>
      </w:r>
      <w:proofErr w:type="spellEnd"/>
      <w:r>
        <w:rPr>
          <w:rFonts w:hAnsi="Tahoma" w:ascii="Tahoma"/>
        </w:rPr>
        <w:t xml:space="preserve"> 1,9 D u vlasništvu stečajnog dužnika evidentirano je u poslovnim knjigama prije otvaranja stečajnog postupka u iznosu od 1.250,00 kn. Teretno vozilo je devastirano, nedostaju kotači, nema papira, nije registrirano a tablice su vraćene.</w:t>
      </w:r>
    </w:p>
    <w:p w:rsidRDefault="006A1DAC" w:rsidR="006A1DAC">
      <w:pPr>
        <w:pStyle w:val="Standard"/>
        <w:spacing w:lineRule="auto" w:line="288"/>
        <w:jc w:val="both"/>
        <w:rPr>
          <w:rFonts w:hAnsi="Tahoma" w:ascii="Tahoma"/>
        </w:rPr>
      </w:pPr>
    </w:p>
    <w:p w:rsidRDefault="00CE66CE" w:rsidR="006A1DAC">
      <w:pPr>
        <w:pStyle w:val="Standard"/>
        <w:spacing w:lineRule="auto" w:line="288"/>
        <w:jc w:val="both"/>
        <w:rPr>
          <w:rFonts w:hAnsi="Tahoma" w:ascii="Tahoma"/>
        </w:rPr>
      </w:pPr>
      <w:r>
        <w:rPr>
          <w:rFonts w:hAnsi="Tahoma" w:ascii="Tahoma"/>
        </w:rPr>
        <w:t xml:space="preserve">Budući da se vozilo nalazilo u </w:t>
      </w:r>
      <w:proofErr w:type="spellStart"/>
      <w:r>
        <w:rPr>
          <w:rFonts w:hAnsi="Tahoma" w:ascii="Tahoma"/>
        </w:rPr>
        <w:t>Carevdaru</w:t>
      </w:r>
      <w:proofErr w:type="spellEnd"/>
      <w:r>
        <w:rPr>
          <w:rFonts w:hAnsi="Tahoma" w:ascii="Tahoma"/>
        </w:rPr>
        <w:t xml:space="preserve"> kod Križevaca na tuđem zemljištu, nakon pregleda isto je prodano neposrednom pogodbom za iznos od 1.250,00 kn kupcu OPG Vesni </w:t>
      </w:r>
      <w:proofErr w:type="spellStart"/>
      <w:r>
        <w:rPr>
          <w:rFonts w:hAnsi="Tahoma" w:ascii="Tahoma"/>
        </w:rPr>
        <w:t>Ferenčini</w:t>
      </w:r>
      <w:proofErr w:type="spellEnd"/>
      <w:r>
        <w:rPr>
          <w:rFonts w:hAnsi="Tahoma" w:ascii="Tahoma"/>
        </w:rPr>
        <w:t xml:space="preserve"> iz Sveti Ivan </w:t>
      </w:r>
      <w:proofErr w:type="spellStart"/>
      <w:r>
        <w:rPr>
          <w:rFonts w:hAnsi="Tahoma" w:ascii="Tahoma"/>
        </w:rPr>
        <w:t>Žabnog</w:t>
      </w:r>
      <w:proofErr w:type="spellEnd"/>
      <w:r>
        <w:rPr>
          <w:rFonts w:hAnsi="Tahoma" w:ascii="Tahoma"/>
        </w:rPr>
        <w:t>. To iz razloga što ga je hitno trebalo maknuti sa tuđeg zemljišta a prijevoz do Varaždina, gdje ga se i tako ne bi imalo gdje smjestiti + troškovi procjene i prodaje, koštali bi više od vrijednosti samog vozila. Zbog toga je iskorištena prilika da se vozilo proda na licu mjesta.</w:t>
      </w:r>
    </w:p>
    <w:p w:rsidRDefault="00CE66CE" w:rsidR="006A1DAC">
      <w:pPr>
        <w:pStyle w:val="Standard"/>
        <w:spacing w:lineRule="auto" w:line="288"/>
        <w:jc w:val="both"/>
        <w:rPr>
          <w:rFonts w:hAnsi="Tahoma" w:ascii="Tahoma"/>
        </w:rPr>
      </w:pPr>
      <w:r>
        <w:rPr>
          <w:rFonts w:hAnsi="Tahoma" w:ascii="Tahoma"/>
        </w:rPr>
        <w:t xml:space="preserve">  </w:t>
      </w:r>
    </w:p>
    <w:p w:rsidRDefault="00CE66CE" w:rsidR="006A1DAC">
      <w:pPr>
        <w:rPr>
          <w:rFonts w:hAnsi="Tahoma" w:ascii="Tahoma"/>
        </w:rPr>
      </w:pPr>
      <w:r>
        <w:rPr>
          <w:rFonts w:hAnsi="Tahoma" w:ascii="Tahoma"/>
        </w:rPr>
        <w:t>Predmetno vozilo nije bilo opterećeno založnim pravom u korist trećih osoba.</w:t>
      </w:r>
    </w:p>
    <w:p w:rsidRDefault="006A1DAC" w:rsidR="006A1DAC">
      <w:pPr>
        <w:pStyle w:val="Standard"/>
        <w:spacing w:lineRule="auto" w:line="288"/>
        <w:jc w:val="both"/>
        <w:rPr>
          <w:rFonts w:hAnsi="Tahoma" w:ascii="Tahoma"/>
        </w:rPr>
      </w:pPr>
    </w:p>
    <w:p w:rsidRDefault="00CE66CE" w:rsidR="006A1DAC">
      <w:pPr>
        <w:pStyle w:val="Odlomakpopisa"/>
        <w:spacing w:lineRule="auto" w:line="288"/>
        <w:ind w:left="0"/>
        <w:jc w:val="both"/>
        <w:rPr>
          <w:rFonts w:hAnsi="Tahoma" w:ascii="Tahoma"/>
          <w:b/>
          <w:u w:val="single"/>
        </w:rPr>
      </w:pPr>
      <w:r>
        <w:rPr>
          <w:rFonts w:hAnsi="Tahoma" w:ascii="Tahoma"/>
          <w:b/>
          <w:u w:val="single"/>
        </w:rPr>
        <w:t>2. Potraživanja od kupaca (dužnikovi dužnici)</w:t>
      </w:r>
    </w:p>
    <w:p w:rsidRDefault="006A1DAC" w:rsidR="006A1DAC">
      <w:pPr>
        <w:pStyle w:val="Standard"/>
        <w:spacing w:lineRule="auto" w:line="288"/>
        <w:jc w:val="both"/>
        <w:rPr>
          <w:rFonts w:hAnsi="Tahoma" w:ascii="Tahoma"/>
          <w:b/>
          <w:u w:val="single"/>
        </w:rPr>
      </w:pPr>
    </w:p>
    <w:p w:rsidRDefault="00CE66CE" w:rsidR="006A1DAC">
      <w:pPr>
        <w:spacing w:lineRule="auto" w:line="288"/>
        <w:jc w:val="both"/>
      </w:pPr>
      <w:r>
        <w:rPr>
          <w:rFonts w:hAnsi="Tahoma" w:ascii="Tahoma"/>
        </w:rPr>
        <w:t xml:space="preserve">Potraživanja od kupaca u poslovnim knjigama do otvaranja stečajnog postupka iznose 3.200,00 kn, a odnose se na kupca </w:t>
      </w:r>
      <w:proofErr w:type="spellStart"/>
      <w:r>
        <w:rPr>
          <w:rFonts w:hAnsi="Tahoma" w:ascii="Tahoma"/>
        </w:rPr>
        <w:t>Silver</w:t>
      </w:r>
      <w:proofErr w:type="spellEnd"/>
      <w:r>
        <w:rPr>
          <w:rFonts w:hAnsi="Tahoma" w:ascii="Tahoma"/>
        </w:rPr>
        <w:t xml:space="preserve"> </w:t>
      </w:r>
      <w:proofErr w:type="spellStart"/>
      <w:r>
        <w:rPr>
          <w:rFonts w:hAnsi="Tahoma" w:ascii="Tahoma"/>
        </w:rPr>
        <w:t>Moon</w:t>
      </w:r>
      <w:proofErr w:type="spellEnd"/>
      <w:r>
        <w:rPr>
          <w:rFonts w:hAnsi="Tahoma" w:ascii="Tahoma"/>
        </w:rPr>
        <w:t xml:space="preserve"> d.o.o. iz Zagreba. Odmah po otvaranju stečajnog postupka upućen je podsjetnik na plaćanje radi plaćanja obveza jer se odnosi na račun iz 2016. Međutim do dana izrade izvješća račun nije plaćen, te je poslana opomena.  </w:t>
      </w:r>
      <w:bookmarkStart w:name="_Hlk479682428" w:id="1"/>
      <w:bookmarkEnd w:id="1"/>
    </w:p>
    <w:p w:rsidRDefault="00CE66CE" w:rsidR="006A1DAC">
      <w:pPr>
        <w:pStyle w:val="Standard"/>
        <w:spacing w:lineRule="auto" w:line="288"/>
        <w:jc w:val="both"/>
      </w:pPr>
      <w:r>
        <w:rPr>
          <w:rFonts w:hAnsi="Tahoma" w:ascii="Tahoma"/>
          <w:i/>
          <w:iCs/>
        </w:rPr>
        <w:lastRenderedPageBreak/>
        <w:t xml:space="preserve">Slijedom iznesenog, vrijednost imovine stečajnog dužnika u početnoj stečajnoj bilanci utvrđuje se u iznosu od </w:t>
      </w:r>
      <w:r>
        <w:rPr>
          <w:rFonts w:hAnsi="Tahoma" w:ascii="Tahoma"/>
          <w:b/>
          <w:i/>
          <w:iCs/>
        </w:rPr>
        <w:t>4.450,00</w:t>
      </w:r>
      <w:r>
        <w:rPr>
          <w:rFonts w:hAnsi="Tahoma" w:ascii="Tahoma"/>
          <w:b/>
          <w:bCs/>
          <w:i/>
          <w:iCs/>
        </w:rPr>
        <w:t xml:space="preserve"> kn</w:t>
      </w:r>
      <w:r>
        <w:rPr>
          <w:rFonts w:hAnsi="Tahoma" w:ascii="Tahoma"/>
          <w:bCs/>
          <w:i/>
          <w:iCs/>
        </w:rPr>
        <w:t>, koja se imovina sastoji od pokretnine i potraživanja.</w:t>
      </w:r>
    </w:p>
    <w:p w:rsidRDefault="006A1DAC" w:rsidR="006A1DAC">
      <w:pPr>
        <w:pStyle w:val="Standard"/>
        <w:spacing w:lineRule="auto" w:line="288"/>
        <w:jc w:val="both"/>
      </w:pPr>
    </w:p>
    <w:p w:rsidRDefault="00CE66CE" w:rsidR="006A1DAC">
      <w:pPr>
        <w:pStyle w:val="Standard"/>
        <w:spacing w:lineRule="auto" w:line="288"/>
        <w:jc w:val="both"/>
        <w:rPr>
          <w:rFonts w:hAnsi="Arial" w:ascii="Arial"/>
          <w:b/>
          <w:bCs/>
          <w:i/>
          <w:iCs/>
        </w:rPr>
      </w:pPr>
      <w:r>
        <w:rPr>
          <w:rFonts w:hAnsi="Arial" w:ascii="Arial"/>
          <w:b/>
          <w:bCs/>
          <w:i/>
          <w:iCs/>
        </w:rPr>
        <w:t>Napomena:</w:t>
      </w:r>
    </w:p>
    <w:p w:rsidRDefault="006A1DAC" w:rsidR="006A1DAC">
      <w:pPr>
        <w:pStyle w:val="Standard"/>
        <w:spacing w:lineRule="auto" w:line="288"/>
        <w:jc w:val="both"/>
        <w:rPr>
          <w:rFonts w:hAnsi="Arial" w:ascii="Arial"/>
          <w:b/>
          <w:bCs/>
          <w:i/>
          <w:iCs/>
        </w:rPr>
      </w:pPr>
    </w:p>
    <w:p w:rsidRDefault="00CE66CE" w:rsidR="006A1DAC">
      <w:pPr>
        <w:pStyle w:val="Standard"/>
        <w:spacing w:lineRule="auto" w:line="288"/>
        <w:jc w:val="both"/>
        <w:rPr>
          <w:rFonts w:hAnsi="Arial" w:ascii="Arial"/>
          <w:b/>
          <w:bCs/>
          <w:i/>
          <w:iCs/>
        </w:rPr>
      </w:pPr>
      <w:r>
        <w:rPr>
          <w:rFonts w:hAnsi="Arial" w:ascii="Arial"/>
          <w:b/>
          <w:bCs/>
          <w:i/>
          <w:iCs/>
        </w:rPr>
        <w:t>Biološka imovina-ovce</w:t>
      </w:r>
    </w:p>
    <w:p w:rsidRDefault="006A1DAC" w:rsidR="006A1DAC">
      <w:pPr>
        <w:pStyle w:val="Standard"/>
        <w:spacing w:lineRule="auto" w:line="288"/>
        <w:jc w:val="both"/>
        <w:rPr>
          <w:rFonts w:hAnsi="Arial" w:ascii="Arial"/>
          <w:bCs/>
          <w:i/>
          <w:iCs/>
        </w:rPr>
      </w:pPr>
    </w:p>
    <w:p w:rsidRDefault="00CE66CE" w:rsidR="006A1DAC">
      <w:pPr>
        <w:pStyle w:val="Standard"/>
        <w:spacing w:lineRule="auto" w:line="288"/>
        <w:jc w:val="both"/>
        <w:rPr>
          <w:rFonts w:hAnsi="Arial" w:ascii="Arial"/>
          <w:bCs/>
          <w:i/>
          <w:iCs/>
        </w:rPr>
      </w:pPr>
      <w:r>
        <w:rPr>
          <w:rFonts w:hAnsi="Arial" w:ascii="Arial"/>
          <w:bCs/>
          <w:i/>
          <w:iCs/>
        </w:rPr>
        <w:t xml:space="preserve">Bivši direktor stečajnog dužnika Lazar Matić izjavio je na zapisnik da mu posao sa uzgojem ovaca i koza nije uspio, te da osim vozila iz točke 1. nema druge imovine, pa je prekinuo poslovanje.  U poslovnim knjigama stečajnog dužnika prikazana je međutim vrijednost ovaca kao imovina društva. Ksenija </w:t>
      </w:r>
      <w:proofErr w:type="spellStart"/>
      <w:r>
        <w:rPr>
          <w:rFonts w:hAnsi="Arial" w:ascii="Arial"/>
          <w:bCs/>
          <w:i/>
          <w:iCs/>
        </w:rPr>
        <w:t>Pehnec</w:t>
      </w:r>
      <w:proofErr w:type="spellEnd"/>
      <w:r>
        <w:rPr>
          <w:rFonts w:hAnsi="Arial" w:ascii="Arial"/>
          <w:bCs/>
          <w:i/>
          <w:iCs/>
        </w:rPr>
        <w:t xml:space="preserve"> iz </w:t>
      </w:r>
      <w:proofErr w:type="spellStart"/>
      <w:r>
        <w:rPr>
          <w:rFonts w:hAnsi="Arial" w:ascii="Arial"/>
          <w:bCs/>
          <w:i/>
          <w:iCs/>
        </w:rPr>
        <w:t>knjigovodsvenog</w:t>
      </w:r>
      <w:proofErr w:type="spellEnd"/>
      <w:r>
        <w:rPr>
          <w:rFonts w:hAnsi="Arial" w:ascii="Arial"/>
          <w:bCs/>
          <w:i/>
          <w:iCs/>
        </w:rPr>
        <w:t xml:space="preserve"> servisa </w:t>
      </w:r>
      <w:proofErr w:type="spellStart"/>
      <w:r>
        <w:rPr>
          <w:rFonts w:hAnsi="Arial" w:ascii="Arial"/>
          <w:bCs/>
          <w:i/>
          <w:iCs/>
        </w:rPr>
        <w:t>Bajer</w:t>
      </w:r>
      <w:proofErr w:type="spellEnd"/>
      <w:r>
        <w:rPr>
          <w:rFonts w:hAnsi="Arial" w:ascii="Arial"/>
          <w:bCs/>
          <w:i/>
          <w:iCs/>
        </w:rPr>
        <w:t xml:space="preserve"> d.o.o. izjavila je da se vrijednost odnosi na ovce za koje ne zna gdje se nalaze  jer nema nikakvog traga o njihovom postojanju ili prodaji.</w:t>
      </w:r>
    </w:p>
    <w:p w:rsidRDefault="006A1DAC" w:rsidR="006A1DAC">
      <w:pPr>
        <w:pStyle w:val="Standard"/>
        <w:spacing w:lineRule="auto" w:line="288"/>
        <w:jc w:val="both"/>
        <w:rPr>
          <w:rFonts w:hAnsi="Arial" w:ascii="Arial"/>
          <w:bCs/>
          <w:i/>
          <w:iCs/>
        </w:rPr>
      </w:pPr>
    </w:p>
    <w:p w:rsidRDefault="00CE66CE" w:rsidR="006A1DAC">
      <w:pPr>
        <w:pStyle w:val="Standard"/>
        <w:spacing w:lineRule="auto" w:line="288"/>
        <w:jc w:val="both"/>
        <w:rPr>
          <w:rFonts w:hAnsi="Arial" w:ascii="Arial"/>
          <w:bCs/>
          <w:i/>
          <w:iCs/>
        </w:rPr>
      </w:pPr>
      <w:r>
        <w:rPr>
          <w:rFonts w:hAnsi="Arial" w:ascii="Arial"/>
          <w:bCs/>
          <w:i/>
          <w:iCs/>
        </w:rPr>
        <w:t xml:space="preserve">Stečajni upravitelj predlaže da se Skupština vjerovnika izjasni o potrebi ev. istrage za tu moguću imovinu za što bi trebalo predujmiti sredstva radi troškova koji će nužno zbog toga nastati (troškovi </w:t>
      </w:r>
      <w:proofErr w:type="spellStart"/>
      <w:r>
        <w:rPr>
          <w:rFonts w:hAnsi="Arial" w:ascii="Arial"/>
          <w:bCs/>
          <w:i/>
          <w:iCs/>
        </w:rPr>
        <w:t>knjig</w:t>
      </w:r>
      <w:proofErr w:type="spellEnd"/>
      <w:r>
        <w:rPr>
          <w:rFonts w:hAnsi="Arial" w:ascii="Arial"/>
          <w:bCs/>
          <w:i/>
          <w:iCs/>
        </w:rPr>
        <w:t xml:space="preserve">., naknada banci, nagrada stečajnog upravitelja i dr.) i to prema odredbama čl. 111/3 SZ-a iz Fonda za namirenje troškova stečajnog </w:t>
      </w:r>
      <w:proofErr w:type="spellStart"/>
      <w:r>
        <w:rPr>
          <w:rFonts w:hAnsi="Arial" w:ascii="Arial"/>
          <w:bCs/>
          <w:i/>
          <w:iCs/>
        </w:rPr>
        <w:t>popstupka</w:t>
      </w:r>
      <w:proofErr w:type="spellEnd"/>
      <w:r>
        <w:rPr>
          <w:rFonts w:hAnsi="Arial" w:ascii="Arial"/>
          <w:bCs/>
          <w:i/>
          <w:iCs/>
        </w:rPr>
        <w:t xml:space="preserve"> ili čl. 293/3 SZ-a solidarnim predujmom vjerovnika</w:t>
      </w:r>
    </w:p>
    <w:p w:rsidRDefault="006A1DAC" w:rsidR="006A1DAC">
      <w:pPr>
        <w:pStyle w:val="Standard"/>
        <w:spacing w:lineRule="auto" w:line="288"/>
        <w:jc w:val="both"/>
        <w:rPr>
          <w:rFonts w:hAnsi="Arial" w:ascii="Arial"/>
          <w:bCs/>
          <w:i/>
          <w:iCs/>
        </w:rPr>
      </w:pPr>
    </w:p>
    <w:p w:rsidRDefault="00CE66CE" w:rsidR="006A1DAC">
      <w:pPr>
        <w:pStyle w:val="Standard"/>
        <w:spacing w:lineRule="auto" w:line="288"/>
        <w:jc w:val="both"/>
        <w:rPr>
          <w:rFonts w:hAnsi="Arial" w:ascii="Arial"/>
          <w:bCs/>
          <w:i/>
          <w:iCs/>
        </w:rPr>
      </w:pPr>
      <w:r>
        <w:rPr>
          <w:rFonts w:hAnsi="Arial" w:ascii="Arial"/>
          <w:bCs/>
          <w:i/>
          <w:iCs/>
        </w:rPr>
        <w:t>Prilog: Zapisnik s izjavom Lazara Matića</w:t>
      </w:r>
    </w:p>
    <w:p w:rsidRDefault="006A1DAC" w:rsidR="006A1DAC">
      <w:pPr>
        <w:pStyle w:val="Standard"/>
        <w:spacing w:lineRule="auto" w:line="288"/>
        <w:jc w:val="both"/>
        <w:rPr>
          <w:rFonts w:hAnsi="Arial" w:ascii="Arial"/>
          <w:b/>
          <w:bCs/>
          <w:i/>
          <w:iCs/>
          <w:color w:val="FF0000"/>
        </w:rPr>
      </w:pPr>
    </w:p>
    <w:p w:rsidRDefault="00CE66CE" w:rsidR="006A1DAC">
      <w:pPr>
        <w:pStyle w:val="Standard"/>
        <w:spacing w:lineRule="auto" w:line="288"/>
        <w:jc w:val="both"/>
      </w:pPr>
      <w:r>
        <w:rPr>
          <w:rFonts w:hAnsi="Tahoma" w:ascii="Tahoma"/>
          <w:b/>
          <w:bCs/>
        </w:rPr>
        <w:t>B) OBVEZE</w:t>
      </w:r>
    </w:p>
    <w:p w:rsidRDefault="006A1DAC" w:rsidR="006A1DAC">
      <w:pPr>
        <w:pStyle w:val="Odlomakpopisa"/>
        <w:spacing w:lineRule="auto" w:line="288"/>
        <w:jc w:val="both"/>
        <w:rPr>
          <w:rFonts w:hAnsi="Tahoma" w:ascii="Tahoma"/>
        </w:rPr>
      </w:pPr>
    </w:p>
    <w:p w:rsidRDefault="00CE66CE" w:rsidR="006A1DAC">
      <w:pPr>
        <w:pStyle w:val="Standard"/>
        <w:spacing w:lineRule="auto" w:line="288"/>
        <w:jc w:val="both"/>
      </w:pPr>
      <w:r>
        <w:rPr>
          <w:rFonts w:hAnsi="Tahoma" w:ascii="Tahoma"/>
        </w:rPr>
        <w:t xml:space="preserve">Do Ispitnog ročišta zaprimljene su 3 tražbine stečajnih vjerovnika. Ukupno prijavljene i priznate tražbine stečajnih vjerovnika iznose </w:t>
      </w:r>
      <w:r>
        <w:rPr>
          <w:rFonts w:hAnsi="Tahoma" w:ascii="Tahoma"/>
          <w:b/>
        </w:rPr>
        <w:t xml:space="preserve">13.781,77 kn. </w:t>
      </w:r>
      <w:r>
        <w:rPr>
          <w:rFonts w:hAnsi="Tahoma" w:ascii="Tahoma"/>
        </w:rPr>
        <w:t>U odnosu na red isplate svrstane se u tražbine:</w:t>
      </w:r>
    </w:p>
    <w:p w:rsidRDefault="006A1DAC" w:rsidR="006A1DAC">
      <w:pPr>
        <w:pStyle w:val="Standard"/>
        <w:spacing w:lineRule="auto" w:line="288"/>
        <w:jc w:val="both"/>
        <w:rPr>
          <w:rFonts w:hAnsi="Tahoma" w:ascii="Tahoma"/>
        </w:rPr>
      </w:pPr>
    </w:p>
    <w:p w:rsidRDefault="00CE66CE" w:rsidR="006A1DAC">
      <w:pPr>
        <w:pStyle w:val="Odlomakpopisa"/>
        <w:numPr>
          <w:ilvl w:val="0"/>
          <w:numId w:val="20"/>
        </w:numPr>
        <w:spacing w:lineRule="auto" w:line="288"/>
        <w:jc w:val="both"/>
        <w:rPr>
          <w:rFonts w:hAnsi="Tahoma" w:ascii="Tahoma"/>
        </w:rPr>
      </w:pPr>
      <w:r>
        <w:rPr>
          <w:rFonts w:hAnsi="Tahoma" w:ascii="Tahoma"/>
        </w:rPr>
        <w:t xml:space="preserve"> I višeg isplatnog reda u iznosu od      2.326,74 kn</w:t>
      </w:r>
    </w:p>
    <w:p w:rsidRDefault="00CE66CE" w:rsidR="006A1DAC">
      <w:pPr>
        <w:pStyle w:val="Odlomakpopisa"/>
        <w:numPr>
          <w:ilvl w:val="0"/>
          <w:numId w:val="6"/>
        </w:numPr>
        <w:spacing w:lineRule="auto" w:line="288"/>
        <w:jc w:val="both"/>
        <w:rPr>
          <w:rFonts w:hAnsi="Tahoma" w:ascii="Tahoma"/>
        </w:rPr>
      </w:pPr>
      <w:r>
        <w:rPr>
          <w:rFonts w:hAnsi="Tahoma" w:ascii="Tahoma"/>
        </w:rPr>
        <w:t>II višeg isplatnog reda u iznosu od    11.455,03 kn</w:t>
      </w:r>
    </w:p>
    <w:p w:rsidRDefault="006A1DAC" w:rsidR="006A1DAC">
      <w:pPr>
        <w:pStyle w:val="Odlomakpopisa"/>
        <w:spacing w:lineRule="auto" w:line="288"/>
        <w:jc w:val="both"/>
        <w:rPr>
          <w:rFonts w:hAnsi="Tahoma" w:ascii="Tahoma"/>
        </w:rPr>
      </w:pPr>
    </w:p>
    <w:p w:rsidRDefault="00CE66CE" w:rsidR="006A1DAC">
      <w:pPr>
        <w:pStyle w:val="Standard"/>
        <w:spacing w:lineRule="auto" w:line="288"/>
        <w:rPr>
          <w:rFonts w:hAnsi="Tahoma" w:ascii="Tahoma"/>
        </w:rPr>
      </w:pPr>
      <w:r>
        <w:rPr>
          <w:rFonts w:hAnsi="Tahoma" w:ascii="Tahoma"/>
        </w:rPr>
        <w:t>Tražbine I. VIR-a odnose se na Ministarstvo financija za poreze i doprinose iz i na plaće bivših zaposlenika a vjerovnici II. VIR-a su dobavljači i Ministarstvo financija za porezne i druge obaveze.</w:t>
      </w:r>
    </w:p>
    <w:p w:rsidRDefault="006A1DAC" w:rsidR="006A1DAC">
      <w:pPr>
        <w:pStyle w:val="Standard"/>
        <w:spacing w:lineRule="auto" w:line="288"/>
        <w:ind w:left="360"/>
        <w:jc w:val="both"/>
        <w:rPr>
          <w:rFonts w:hAnsi="Tahoma" w:ascii="Tahoma"/>
        </w:rPr>
      </w:pPr>
    </w:p>
    <w:p w:rsidRDefault="006A1DAC" w:rsidR="006A1DAC">
      <w:pPr>
        <w:pStyle w:val="Standard"/>
        <w:spacing w:lineRule="auto" w:line="288"/>
        <w:ind w:left="360"/>
        <w:jc w:val="both"/>
        <w:rPr>
          <w:rFonts w:hAnsi="Tahoma" w:ascii="Tahoma"/>
        </w:rPr>
      </w:pPr>
    </w:p>
    <w:p w:rsidRDefault="00CE66CE" w:rsidR="006A1DAC">
      <w:pPr>
        <w:pStyle w:val="Standard"/>
        <w:spacing w:lineRule="auto" w:line="288"/>
        <w:jc w:val="both"/>
        <w:rPr>
          <w:rFonts w:hAnsi="Tahoma" w:ascii="Tahoma"/>
          <w:b/>
          <w:bCs/>
          <w:u w:val="single"/>
        </w:rPr>
      </w:pPr>
      <w:r>
        <w:rPr>
          <w:rFonts w:hAnsi="Tahoma" w:ascii="Tahoma"/>
          <w:b/>
          <w:bCs/>
          <w:u w:val="single"/>
        </w:rPr>
        <w:t>III Prijedlozi stečajnog upravitelja</w:t>
      </w:r>
    </w:p>
    <w:p w:rsidRDefault="006A1DAC" w:rsidR="006A1DAC">
      <w:pPr>
        <w:pStyle w:val="Standard"/>
        <w:spacing w:lineRule="auto" w:line="288"/>
        <w:jc w:val="both"/>
        <w:rPr>
          <w:rFonts w:hAnsi="Tahoma" w:ascii="Tahoma"/>
          <w:b/>
          <w:bCs/>
          <w:u w:val="single"/>
        </w:rPr>
      </w:pPr>
    </w:p>
    <w:p w:rsidRDefault="00CE66CE" w:rsidR="006A1DAC">
      <w:pPr>
        <w:pStyle w:val="Standard"/>
        <w:spacing w:lineRule="auto" w:line="288"/>
        <w:jc w:val="both"/>
        <w:rPr>
          <w:rFonts w:hAnsi="Tahoma" w:ascii="Tahoma"/>
        </w:rPr>
      </w:pPr>
      <w:r>
        <w:rPr>
          <w:rFonts w:hAnsi="Tahoma" w:ascii="Tahoma"/>
        </w:rPr>
        <w:t>Slijedom iznesenog stečajni dužnik SOLIS j. d. o. o. nema uvjeta za nastavak daljnjeg poslovanja. Stoga stečajni upravitelj predlaže da Skupština vjerovnika na izvještajnom ročištu donese slijedeće Odluke:</w:t>
      </w:r>
    </w:p>
    <w:p w:rsidRDefault="006A1DAC" w:rsidR="006A1DAC">
      <w:pPr>
        <w:pStyle w:val="Standard"/>
        <w:spacing w:lineRule="auto" w:line="288"/>
        <w:jc w:val="both"/>
        <w:rPr>
          <w:rFonts w:hAnsi="Tahoma" w:ascii="Tahoma"/>
        </w:rPr>
      </w:pPr>
    </w:p>
    <w:p w:rsidRDefault="00CE66CE" w:rsidR="006A1DAC">
      <w:pPr>
        <w:pStyle w:val="Odlomakpopisa"/>
        <w:numPr>
          <w:ilvl w:val="0"/>
          <w:numId w:val="21"/>
        </w:numPr>
        <w:spacing w:lineRule="auto" w:line="288"/>
        <w:jc w:val="both"/>
        <w:rPr>
          <w:rFonts w:hAnsi="Tahoma" w:ascii="Tahoma"/>
        </w:rPr>
      </w:pPr>
      <w:r>
        <w:rPr>
          <w:rFonts w:hAnsi="Tahoma" w:ascii="Tahoma"/>
        </w:rPr>
        <w:t xml:space="preserve">prihvaćanje izvješća stečajnog upravitelja o gospodarskom položaju stečajnog </w:t>
      </w:r>
      <w:r>
        <w:rPr>
          <w:rFonts w:hAnsi="Tahoma" w:ascii="Tahoma"/>
        </w:rPr>
        <w:lastRenderedPageBreak/>
        <w:t>dužnika i do sada poduzetim radnjama stečajnog upravitelja,</w:t>
      </w:r>
    </w:p>
    <w:p w:rsidRDefault="006A1DAC" w:rsidR="006A1DAC">
      <w:pPr>
        <w:pStyle w:val="Odlomakpopisa"/>
        <w:spacing w:lineRule="auto" w:line="288"/>
        <w:jc w:val="both"/>
        <w:rPr>
          <w:rFonts w:hAnsi="Tahoma" w:ascii="Tahoma"/>
        </w:rPr>
      </w:pPr>
    </w:p>
    <w:p w:rsidRDefault="00CE66CE" w:rsidR="006A1DAC">
      <w:pPr>
        <w:pStyle w:val="Odlomakpopisa"/>
        <w:numPr>
          <w:ilvl w:val="0"/>
          <w:numId w:val="7"/>
        </w:numPr>
        <w:spacing w:lineRule="auto" w:line="288"/>
        <w:jc w:val="both"/>
        <w:rPr>
          <w:rFonts w:hAnsi="Tahoma" w:ascii="Tahoma"/>
        </w:rPr>
      </w:pPr>
      <w:r>
        <w:rPr>
          <w:rFonts w:hAnsi="Tahoma" w:ascii="Tahoma"/>
        </w:rPr>
        <w:t xml:space="preserve">donošenje odluke o ev. biološkoj imovini - ovce i ovrsi prema </w:t>
      </w:r>
      <w:proofErr w:type="spellStart"/>
      <w:r>
        <w:rPr>
          <w:rFonts w:hAnsi="Tahoma" w:ascii="Tahoma"/>
        </w:rPr>
        <w:t>Silver</w:t>
      </w:r>
      <w:proofErr w:type="spellEnd"/>
      <w:r>
        <w:rPr>
          <w:rFonts w:hAnsi="Tahoma" w:ascii="Tahoma"/>
        </w:rPr>
        <w:t xml:space="preserve"> </w:t>
      </w:r>
      <w:proofErr w:type="spellStart"/>
      <w:r>
        <w:rPr>
          <w:rFonts w:hAnsi="Tahoma" w:ascii="Tahoma"/>
        </w:rPr>
        <w:t>Moon</w:t>
      </w:r>
      <w:proofErr w:type="spellEnd"/>
      <w:r>
        <w:rPr>
          <w:rFonts w:hAnsi="Tahoma" w:ascii="Tahoma"/>
        </w:rPr>
        <w:t xml:space="preserve"> d.o.o. uz osiguranje sredstava za nastavak postupka</w:t>
      </w:r>
    </w:p>
    <w:p w:rsidRDefault="006A1DAC" w:rsidR="006A1DAC">
      <w:pPr>
        <w:pStyle w:val="Odlomakpopisa"/>
        <w:spacing w:lineRule="auto" w:line="288"/>
        <w:jc w:val="both"/>
        <w:rPr>
          <w:rFonts w:hAnsi="Tahoma" w:ascii="Tahoma"/>
        </w:rPr>
      </w:pPr>
    </w:p>
    <w:p w:rsidRDefault="00CE66CE" w:rsidR="006A1DAC">
      <w:pPr>
        <w:pStyle w:val="Odlomakpopisa"/>
        <w:numPr>
          <w:ilvl w:val="0"/>
          <w:numId w:val="7"/>
        </w:numPr>
        <w:spacing w:lineRule="auto" w:line="288"/>
        <w:jc w:val="both"/>
        <w:rPr>
          <w:rFonts w:hAnsi="Tahoma" w:ascii="Tahoma"/>
        </w:rPr>
      </w:pPr>
      <w:r>
        <w:rPr>
          <w:rFonts w:hAnsi="Tahoma" w:ascii="Tahoma"/>
        </w:rPr>
        <w:t>iz stečajne mase od 1.250,00 kn predlaže se namirenje dijela troškova stečajnog postupka i PDV za prodano vozilo</w:t>
      </w:r>
    </w:p>
    <w:p w:rsidRDefault="006A1DAC" w:rsidR="006A1DAC">
      <w:pPr>
        <w:spacing w:lineRule="auto" w:line="288"/>
        <w:ind w:left="360"/>
        <w:jc w:val="both"/>
        <w:rPr>
          <w:rFonts w:hAnsi="Tahoma" w:ascii="Tahoma"/>
        </w:rPr>
      </w:pPr>
    </w:p>
    <w:p w:rsidRDefault="00CE66CE" w:rsidR="006A1DAC">
      <w:pPr>
        <w:pStyle w:val="Odlomakpopisa"/>
        <w:numPr>
          <w:ilvl w:val="0"/>
          <w:numId w:val="7"/>
        </w:numPr>
        <w:spacing w:lineRule="auto" w:line="288"/>
        <w:jc w:val="both"/>
        <w:rPr>
          <w:rFonts w:hAnsi="Tahoma" w:ascii="Tahoma"/>
        </w:rPr>
      </w:pPr>
      <w:r>
        <w:rPr>
          <w:rFonts w:hAnsi="Tahoma" w:ascii="Tahoma"/>
        </w:rPr>
        <w:t xml:space="preserve">ukoliko ne dođe do primjene alineje 2. - predlaže se donošenje odluke o obustavi stečajnog postupka zbog nedostatnosti stečajne mase temeljem čl. 293. st. 1. i 2. SZ-a. Jer stečajna masa nije dostatna niti za troškove postupka. </w:t>
      </w:r>
      <w:bookmarkStart w:name="_Hlk479595305" w:id="2"/>
      <w:r>
        <w:rPr>
          <w:rFonts w:hAnsi="Tahoma" w:ascii="Tahoma"/>
        </w:rPr>
        <w:t xml:space="preserve"> </w:t>
      </w:r>
    </w:p>
    <w:bookmarkEnd w:id="2"/>
    <w:p w:rsidRDefault="006A1DAC" w:rsidR="006A1DAC">
      <w:pPr>
        <w:spacing w:lineRule="auto" w:line="288"/>
        <w:jc w:val="both"/>
        <w:rPr>
          <w:rFonts w:hAnsi="Tahoma" w:ascii="Tahoma"/>
        </w:rPr>
      </w:pPr>
    </w:p>
    <w:p w:rsidRDefault="00CE66CE" w:rsidR="006A1DAC">
      <w:pPr>
        <w:pStyle w:val="Standard"/>
        <w:spacing w:lineRule="auto" w:line="288"/>
        <w:jc w:val="both"/>
        <w:rPr>
          <w:rFonts w:hAnsi="Tahoma" w:ascii="Tahoma"/>
        </w:rPr>
      </w:pPr>
      <w:r>
        <w:rPr>
          <w:rFonts w:hAnsi="Tahoma" w:ascii="Tahoma"/>
        </w:rPr>
        <w:t>Varaždin, 26.04.2017.</w:t>
      </w:r>
      <w:r>
        <w:rPr>
          <w:rFonts w:hAnsi="Tahoma" w:ascii="Tahoma"/>
        </w:rPr>
        <w:tab/>
      </w:r>
      <w:r>
        <w:rPr>
          <w:rFonts w:hAnsi="Tahoma" w:ascii="Tahoma"/>
        </w:rPr>
        <w:tab/>
      </w:r>
      <w:r>
        <w:rPr>
          <w:rFonts w:hAnsi="Tahoma" w:ascii="Tahoma"/>
        </w:rPr>
        <w:tab/>
      </w:r>
      <w:r>
        <w:rPr>
          <w:rFonts w:hAnsi="Tahoma" w:ascii="Tahoma"/>
        </w:rPr>
        <w:tab/>
      </w:r>
      <w:r>
        <w:rPr>
          <w:rFonts w:hAnsi="Tahoma" w:ascii="Tahoma"/>
        </w:rPr>
        <w:tab/>
        <w:t xml:space="preserve">Stečajni upravitelj Zvonko </w:t>
      </w:r>
      <w:proofErr w:type="spellStart"/>
      <w:r>
        <w:rPr>
          <w:rFonts w:hAnsi="Tahoma" w:ascii="Tahoma"/>
        </w:rPr>
        <w:t>Hrain</w:t>
      </w:r>
      <w:proofErr w:type="spellEnd"/>
    </w:p>
    <w:p w:rsidRDefault="006A1DAC" w:rsidR="006A1DAC">
      <w:pPr>
        <w:pStyle w:val="Standard"/>
        <w:spacing w:lineRule="auto" w:line="288"/>
        <w:jc w:val="both"/>
        <w:rPr>
          <w:rFonts w:hAnsi="Tahoma" w:ascii="Tahoma"/>
        </w:rPr>
      </w:pPr>
    </w:p>
    <w:p w:rsidRDefault="006A1DAC" w:rsidR="006A1DAC">
      <w:pPr>
        <w:pStyle w:val="Standard"/>
        <w:spacing w:lineRule="auto" w:line="288"/>
        <w:jc w:val="both"/>
        <w:rPr>
          <w:rFonts w:hAnsi="Tahoma" w:ascii="Tahoma"/>
        </w:rPr>
      </w:pPr>
    </w:p>
    <w:p w:rsidRDefault="006A1DAC" w:rsidR="006A1DAC">
      <w:pPr>
        <w:pStyle w:val="Standard"/>
        <w:spacing w:lineRule="auto" w:line="288"/>
        <w:jc w:val="both"/>
        <w:rPr>
          <w:rFonts w:hAnsi="Tahoma" w:ascii="Tahoma"/>
        </w:rPr>
      </w:pPr>
    </w:p>
    <w:p w:rsidRDefault="006A1DAC" w:rsidR="006A1DAC">
      <w:pPr>
        <w:pStyle w:val="Standard"/>
        <w:spacing w:lineRule="auto" w:line="288"/>
        <w:jc w:val="both"/>
        <w:rPr>
          <w:rFonts w:hAnsi="Tahoma" w:ascii="Tahoma"/>
        </w:rPr>
      </w:pPr>
    </w:p>
    <w:p w:rsidRDefault="006A1DAC" w:rsidR="006A1DAC">
      <w:pPr>
        <w:pStyle w:val="Standard"/>
        <w:spacing w:lineRule="auto" w:line="288"/>
        <w:jc w:val="both"/>
        <w:rPr>
          <w:rFonts w:hAnsi="Tahoma" w:ascii="Tahoma"/>
        </w:rPr>
      </w:pPr>
    </w:p>
    <w:p w:rsidRDefault="00CE66CE" w:rsidR="006A1DAC">
      <w:pPr>
        <w:pStyle w:val="Standard"/>
        <w:spacing w:lineRule="auto" w:line="288"/>
        <w:jc w:val="both"/>
      </w:pPr>
      <w:r>
        <w:rPr>
          <w:rFonts w:hAnsi="Tahoma" w:ascii="Tahoma"/>
        </w:rPr>
        <w:t xml:space="preserve"> </w:t>
      </w:r>
      <w:r>
        <w:rPr>
          <w:rFonts w:hAnsi="Tahoma" w:ascii="Tahoma"/>
          <w:i/>
        </w:rPr>
        <w:t>Prilozi uz izvješće:</w:t>
      </w:r>
    </w:p>
    <w:p w:rsidRDefault="006A1DAC" w:rsidR="006A1DAC">
      <w:pPr>
        <w:pStyle w:val="Standard"/>
        <w:spacing w:lineRule="auto" w:line="288"/>
        <w:jc w:val="both"/>
        <w:rPr>
          <w:rFonts w:hAnsi="Tahoma" w:ascii="Tahoma"/>
          <w:i/>
        </w:rPr>
      </w:pPr>
    </w:p>
    <w:p w:rsidRDefault="00CE66CE" w:rsidR="006A1DAC">
      <w:pPr>
        <w:pStyle w:val="Odlomakpopisa"/>
        <w:numPr>
          <w:ilvl w:val="0"/>
          <w:numId w:val="22"/>
        </w:numPr>
        <w:spacing w:lineRule="auto" w:line="288"/>
        <w:jc w:val="both"/>
        <w:rPr>
          <w:rFonts w:hAnsi="Tahoma" w:ascii="Tahoma"/>
        </w:rPr>
      </w:pPr>
      <w:r>
        <w:rPr>
          <w:rFonts w:hAnsi="Tahoma" w:ascii="Tahoma"/>
        </w:rPr>
        <w:t>tablica prijavljenih i priznatih tražbina I viši isplatni red (tražbine br. 1)</w:t>
      </w:r>
    </w:p>
    <w:p w:rsidRDefault="00CE66CE" w:rsidR="006A1DAC">
      <w:pPr>
        <w:pStyle w:val="Odlomakpopisa"/>
        <w:numPr>
          <w:ilvl w:val="0"/>
          <w:numId w:val="1"/>
        </w:numPr>
        <w:spacing w:lineRule="auto" w:line="288"/>
        <w:jc w:val="both"/>
        <w:rPr>
          <w:rFonts w:hAnsi="Tahoma" w:ascii="Tahoma"/>
        </w:rPr>
      </w:pPr>
      <w:r>
        <w:rPr>
          <w:rFonts w:hAnsi="Tahoma" w:ascii="Tahoma"/>
        </w:rPr>
        <w:t>tablica prijavljenih i priznatih tražbina II viši isplatni red (tražbine br. 1-3)</w:t>
      </w:r>
    </w:p>
    <w:p w:rsidRDefault="00CE66CE" w:rsidR="006A1DAC">
      <w:pPr>
        <w:pStyle w:val="Odlomakpopisa"/>
        <w:numPr>
          <w:ilvl w:val="0"/>
          <w:numId w:val="1"/>
        </w:numPr>
        <w:spacing w:lineRule="auto" w:line="288"/>
        <w:jc w:val="both"/>
        <w:rPr>
          <w:rFonts w:hAnsi="Tahoma" w:ascii="Tahoma"/>
        </w:rPr>
      </w:pPr>
      <w:r>
        <w:rPr>
          <w:rFonts w:hAnsi="Tahoma" w:ascii="Tahoma"/>
        </w:rPr>
        <w:t>tablica ukupno prijavljenih i priznatih tražbina sa postotkom (I i II viši isplatni red)</w:t>
      </w:r>
    </w:p>
    <w:p w:rsidRDefault="00CE66CE" w:rsidR="006A1DAC">
      <w:pPr>
        <w:pStyle w:val="Odlomakpopisa"/>
        <w:numPr>
          <w:ilvl w:val="0"/>
          <w:numId w:val="1"/>
        </w:numPr>
        <w:spacing w:lineRule="auto" w:line="288"/>
        <w:jc w:val="both"/>
        <w:rPr>
          <w:rFonts w:hAnsi="Tahoma" w:ascii="Tahoma"/>
        </w:rPr>
      </w:pPr>
      <w:r>
        <w:rPr>
          <w:rFonts w:hAnsi="Tahoma" w:ascii="Tahoma"/>
        </w:rPr>
        <w:t xml:space="preserve">popis predmeta stečajne mase (čl. 221. SZ)  </w:t>
      </w:r>
    </w:p>
    <w:p w:rsidRDefault="00CE66CE" w:rsidR="006A1DAC">
      <w:pPr>
        <w:pStyle w:val="Odlomakpopisa"/>
        <w:numPr>
          <w:ilvl w:val="0"/>
          <w:numId w:val="1"/>
        </w:numPr>
        <w:spacing w:lineRule="auto" w:line="288"/>
        <w:jc w:val="both"/>
      </w:pPr>
      <w:r>
        <w:rPr>
          <w:rFonts w:hAnsi="Tahoma" w:ascii="Tahoma"/>
        </w:rPr>
        <w:t>popis imovine i obveza (čl. 223. SZ)</w:t>
      </w:r>
    </w:p>
    <w:p w:rsidRDefault="00CE66CE" w:rsidR="006A1DAC">
      <w:pPr>
        <w:pStyle w:val="Odlomakpopisa"/>
        <w:numPr>
          <w:ilvl w:val="0"/>
          <w:numId w:val="1"/>
        </w:numPr>
        <w:spacing w:lineRule="auto" w:line="288"/>
        <w:jc w:val="both"/>
      </w:pPr>
      <w:r>
        <w:rPr>
          <w:rFonts w:hAnsi="Tahoma" w:ascii="Tahoma"/>
        </w:rPr>
        <w:t>Zapisnik dostavljen od strane gosp. Lazar Matića</w:t>
      </w:r>
    </w:p>
    <w:p w:rsidRDefault="006A1DAC" w:rsidR="006A1DAC">
      <w:pPr>
        <w:pStyle w:val="Standard"/>
        <w:sectPr w:rsidR="006A1DAC">
          <w:pgSz w:h="16838" w:w="11906"/>
          <w:pgMar w:gutter="0" w:footer="720" w:header="720" w:left="1134" w:bottom="1134" w:right="1134" w:top="1134"/>
          <w:cols w:space="720"/>
        </w:sectPr>
      </w:pPr>
    </w:p>
    <w:p w:rsidRDefault="00605160" w:rsidR="006A1DAC">
      <w:pPr>
        <w:pStyle w:val="Standard"/>
        <w:jc w:val="center"/>
      </w:pPr>
      <w:r>
        <w:rPr>
          <w:rFonts w:cs="Century Gothic" w:hAnsi="Century Gothic" w:ascii="Century Gothic"/>
          <w:sz w:val="22"/>
          <w:szCs w:val="22"/>
        </w:rPr>
        <w:lastRenderedPageBreak/>
        <w:pict w14:anchorId="4E1660F4">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s1026" id="Objekt2" style="position:absolute;left:0;text-align:left;margin-left:0;margin-top:0;width:1.15pt;height:1.15pt;z-index:251658240;visibility:visible;mso-wrap-style:square;mso-position-horizontal:center;mso-position-horizontal-relative:text;mso-position-vertical:top;mso-position-vertical-relative:text" type="#_x0000_t75">
            <v:imagedata r:id="rId9" o:title=""/>
            <w10:wrap type="square"/>
          </v:shape>
          <o:OLEObject r:id="rId10" ObjectID="_1553578378" DrawAspect="Content" ShapeID="Objekt2" ProgID="Excel.OpenDocumentSpreadsheet.12" Type="Embed"/>
        </w:pict>
      </w:r>
    </w:p>
    <w:sectPr w:rsidR="006A1DAC">
      <w:pgSz w:h="16838" w:w="11906"/>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6CE" w:rsidR="00CE66CE">
      <w:r>
        <w:separator/>
      </w:r>
    </w:p>
  </w:endnote>
  <w:endnote w:id="0" w:type="continuationSeparator">
    <w:p w:rsidRDefault="00CE66CE" w:rsidR="00CE66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Andale Sans UI">
    <w:charset w:val="00"/>
    <w:family w:val="auto"/>
    <w:pitch w:val="variable"/>
  </w:font>
  <w:font w:name="Segoe UI">
    <w:panose1 w:val="020B0502040204020203"/>
    <w:charset w:val="EE"/>
    <w:family w:val="swiss"/>
    <w:pitch w:val="variable"/>
    <w:sig w:csb1="00000000" w:csb0="000001DF" w:usb3="00000000" w:usb2="00000029" w:usb1="C000E47F" w:usb0="E10022FF"/>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6CE" w:rsidR="00CE66CE">
      <w:r>
        <w:rPr>
          <w:color w:val="000000"/>
        </w:rPr>
        <w:separator/>
      </w:r>
    </w:p>
  </w:footnote>
  <w:footnote w:id="0" w:type="continuationSeparator">
    <w:p w:rsidRDefault="00CE66CE" w:rsidR="00CE66C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743FFD"/>
    <w:multiLevelType w:val="multilevel"/>
    <w:tmpl w:val="F8D22FFA"/>
    <w:styleLink w:val="WW8Num1"/>
    <w:lvl w:ilvl="0">
      <w:numFmt w:val="bullet"/>
      <w:lvlText w:val=""/>
      <w:lvlJc w:val="left"/>
      <w:pPr>
        <w:ind w:hanging="360" w:left="1080"/>
      </w:pPr>
      <w:rPr>
        <w:rFonts w:cs="Symbol" w:hAnsi="Symbol" w:ascii="Symbo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cs="Wingdings" w:hAnsi="Wingdings" w:ascii="Wingdings"/>
      </w:rPr>
    </w:lvl>
    <w:lvl w:ilvl="3">
      <w:numFmt w:val="bullet"/>
      <w:lvlText w:val=""/>
      <w:lvlJc w:val="left"/>
      <w:pPr>
        <w:ind w:hanging="360" w:left="3240"/>
      </w:pPr>
      <w:rPr>
        <w:rFonts w:cs="Symbol"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cs="Wingdings" w:hAnsi="Wingdings" w:ascii="Wingdings"/>
      </w:rPr>
    </w:lvl>
    <w:lvl w:ilvl="6">
      <w:numFmt w:val="bullet"/>
      <w:lvlText w:val=""/>
      <w:lvlJc w:val="left"/>
      <w:pPr>
        <w:ind w:hanging="360" w:left="5400"/>
      </w:pPr>
      <w:rPr>
        <w:rFonts w:cs="Symbol"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cs="Wingdings" w:hAnsi="Wingdings" w:ascii="Wingdings"/>
      </w:rPr>
    </w:lvl>
  </w:abstractNum>
  <w:abstractNum w:abstractNumId="1">
    <w:nsid w:val="0ECF5509"/>
    <w:multiLevelType w:val="multilevel"/>
    <w:tmpl w:val="F7703B86"/>
    <w:styleLink w:val="WW8Num7"/>
    <w:lvl w:ilvl="0">
      <w:numFmt w:val="bullet"/>
      <w:lvlText w:val=""/>
      <w:lvlJc w:val="left"/>
      <w:pPr>
        <w:ind w:hanging="360" w:left="1080"/>
      </w:pPr>
      <w:rPr>
        <w:rFonts w:cs="Symbol" w:hAnsi="Symbol" w:ascii="Symbo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cs="Wingdings" w:hAnsi="Wingdings" w:ascii="Wingdings"/>
      </w:rPr>
    </w:lvl>
    <w:lvl w:ilvl="3">
      <w:numFmt w:val="bullet"/>
      <w:lvlText w:val=""/>
      <w:lvlJc w:val="left"/>
      <w:pPr>
        <w:ind w:hanging="360" w:left="3240"/>
      </w:pPr>
      <w:rPr>
        <w:rFonts w:cs="Symbol"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cs="Wingdings" w:hAnsi="Wingdings" w:ascii="Wingdings"/>
      </w:rPr>
    </w:lvl>
    <w:lvl w:ilvl="6">
      <w:numFmt w:val="bullet"/>
      <w:lvlText w:val=""/>
      <w:lvlJc w:val="left"/>
      <w:pPr>
        <w:ind w:hanging="360" w:left="5400"/>
      </w:pPr>
      <w:rPr>
        <w:rFonts w:cs="Symbol"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cs="Wingdings" w:hAnsi="Wingdings" w:ascii="Wingdings"/>
      </w:rPr>
    </w:lvl>
  </w:abstractNum>
  <w:abstractNum w:abstractNumId="2">
    <w:nsid w:val="18650DC8"/>
    <w:multiLevelType w:val="multilevel"/>
    <w:tmpl w:val="C89CB3D4"/>
    <w:styleLink w:val="WWNum15"/>
    <w:lvl w:ilvl="0">
      <w:start w:val="1"/>
      <w:numFmt w:val="decimal"/>
      <w:lvlText w:val="%1."/>
      <w:lvlJc w:val="left"/>
      <w:pPr>
        <w:ind w:hanging="360" w:left="360"/>
      </w:pPr>
      <w:rPr>
        <w:i w:val="false"/>
        <w:u w:val="none"/>
      </w:rPr>
    </w:lvl>
    <w:lvl w:ilvl="1">
      <w:start w:val="1"/>
      <w:numFmt w:val="lowerLetter"/>
      <w:lvlText w:val="%2."/>
      <w:lvlJc w:val="left"/>
      <w:pPr>
        <w:ind w:hanging="360" w:left="1080"/>
      </w:pPr>
    </w:lvl>
    <w:lvl w:ilvl="2">
      <w:start w:val="1"/>
      <w:numFmt w:val="lowerRoman"/>
      <w:lvlText w:val="%3."/>
      <w:lvlJc w:val="right"/>
      <w:pPr>
        <w:ind w:hanging="180" w:left="1800"/>
      </w:pPr>
    </w:lvl>
    <w:lvl w:ilvl="3">
      <w:start w:val="1"/>
      <w:numFmt w:val="decimal"/>
      <w:lvlText w:val="%4."/>
      <w:lvlJc w:val="left"/>
      <w:pPr>
        <w:ind w:hanging="360" w:left="2520"/>
      </w:pPr>
    </w:lvl>
    <w:lvl w:ilvl="4">
      <w:start w:val="1"/>
      <w:numFmt w:val="lowerLetter"/>
      <w:lvlText w:val="%5."/>
      <w:lvlJc w:val="left"/>
      <w:pPr>
        <w:ind w:hanging="360" w:left="3240"/>
      </w:pPr>
    </w:lvl>
    <w:lvl w:ilvl="5">
      <w:start w:val="1"/>
      <w:numFmt w:val="lowerRoman"/>
      <w:lvlText w:val="%6."/>
      <w:lvlJc w:val="right"/>
      <w:pPr>
        <w:ind w:hanging="180" w:left="3960"/>
      </w:pPr>
    </w:lvl>
    <w:lvl w:ilvl="6">
      <w:start w:val="1"/>
      <w:numFmt w:val="decimal"/>
      <w:lvlText w:val="%7."/>
      <w:lvlJc w:val="left"/>
      <w:pPr>
        <w:ind w:hanging="360" w:left="4680"/>
      </w:pPr>
    </w:lvl>
    <w:lvl w:ilvl="7">
      <w:start w:val="1"/>
      <w:numFmt w:val="lowerLetter"/>
      <w:lvlText w:val="%8."/>
      <w:lvlJc w:val="left"/>
      <w:pPr>
        <w:ind w:hanging="360" w:left="5400"/>
      </w:pPr>
    </w:lvl>
    <w:lvl w:ilvl="8">
      <w:start w:val="1"/>
      <w:numFmt w:val="lowerRoman"/>
      <w:lvlText w:val="%9."/>
      <w:lvlJc w:val="right"/>
      <w:pPr>
        <w:ind w:hanging="180" w:left="6120"/>
      </w:pPr>
    </w:lvl>
  </w:abstractNum>
  <w:abstractNum w:abstractNumId="3">
    <w:nsid w:val="196D2633"/>
    <w:multiLevelType w:val="multilevel"/>
    <w:tmpl w:val="4D4CC3E0"/>
    <w:styleLink w:val="WW8Num9"/>
    <w:lvl w:ilvl="0">
      <w:start w:val="1"/>
      <w:numFmt w:val="lowerLetter"/>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1BC51C03"/>
    <w:multiLevelType w:val="multilevel"/>
    <w:tmpl w:val="9A1C8FFA"/>
    <w:styleLink w:val="WW8Num4"/>
    <w:lvl w:ilvl="0">
      <w:numFmt w:val="bullet"/>
      <w:lvlText w:val=""/>
      <w:lvlJc w:val="left"/>
      <w:pPr>
        <w:ind w:hanging="360" w:left="720"/>
      </w:pPr>
      <w:rPr>
        <w:rFonts w:cs="Wingding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5">
    <w:nsid w:val="1E5F4CAD"/>
    <w:multiLevelType w:val="multilevel"/>
    <w:tmpl w:val="B68C8828"/>
    <w:styleLink w:val="WWNum23"/>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6">
    <w:nsid w:val="27517C83"/>
    <w:multiLevelType w:val="multilevel"/>
    <w:tmpl w:val="1B92144E"/>
    <w:styleLink w:val="WWNum9"/>
    <w:lvl w:ilvl="0">
      <w:numFmt w:val="bullet"/>
      <w:lvlText w:val=""/>
      <w:lvlJc w:val="left"/>
      <w:pPr>
        <w:ind w:hanging="360" w:left="502"/>
      </w:pPr>
      <w:rPr>
        <w:rFonts w:hAnsi="Symbol" w:ascii="Symbol"/>
      </w:rPr>
    </w:lvl>
    <w:lvl w:ilvl="1">
      <w:numFmt w:val="bullet"/>
      <w:lvlText w:val="o"/>
      <w:lvlJc w:val="left"/>
      <w:pPr>
        <w:ind w:hanging="360" w:left="1222"/>
      </w:pPr>
      <w:rPr>
        <w:rFonts w:cs="Courier New" w:hAnsi="Courier New" w:ascii="Courier New"/>
      </w:rPr>
    </w:lvl>
    <w:lvl w:ilvl="2">
      <w:numFmt w:val="bullet"/>
      <w:lvlText w:val=""/>
      <w:lvlJc w:val="left"/>
      <w:pPr>
        <w:ind w:hanging="360" w:left="1942"/>
      </w:pPr>
      <w:rPr>
        <w:rFonts w:hAnsi="Wingdings" w:ascii="Wingdings"/>
      </w:rPr>
    </w:lvl>
    <w:lvl w:ilvl="3">
      <w:numFmt w:val="bullet"/>
      <w:lvlText w:val=""/>
      <w:lvlJc w:val="left"/>
      <w:pPr>
        <w:ind w:hanging="360" w:left="2662"/>
      </w:pPr>
      <w:rPr>
        <w:rFonts w:hAnsi="Symbol" w:ascii="Symbol"/>
      </w:rPr>
    </w:lvl>
    <w:lvl w:ilvl="4">
      <w:numFmt w:val="bullet"/>
      <w:lvlText w:val="o"/>
      <w:lvlJc w:val="left"/>
      <w:pPr>
        <w:ind w:hanging="360" w:left="3382"/>
      </w:pPr>
      <w:rPr>
        <w:rFonts w:cs="Courier New" w:hAnsi="Courier New" w:ascii="Courier New"/>
      </w:rPr>
    </w:lvl>
    <w:lvl w:ilvl="5">
      <w:numFmt w:val="bullet"/>
      <w:lvlText w:val=""/>
      <w:lvlJc w:val="left"/>
      <w:pPr>
        <w:ind w:hanging="360" w:left="4102"/>
      </w:pPr>
      <w:rPr>
        <w:rFonts w:hAnsi="Wingdings" w:ascii="Wingdings"/>
      </w:rPr>
    </w:lvl>
    <w:lvl w:ilvl="6">
      <w:numFmt w:val="bullet"/>
      <w:lvlText w:val=""/>
      <w:lvlJc w:val="left"/>
      <w:pPr>
        <w:ind w:hanging="360" w:left="4822"/>
      </w:pPr>
      <w:rPr>
        <w:rFonts w:hAnsi="Symbol" w:ascii="Symbol"/>
      </w:rPr>
    </w:lvl>
    <w:lvl w:ilvl="7">
      <w:numFmt w:val="bullet"/>
      <w:lvlText w:val="o"/>
      <w:lvlJc w:val="left"/>
      <w:pPr>
        <w:ind w:hanging="360" w:left="5542"/>
      </w:pPr>
      <w:rPr>
        <w:rFonts w:cs="Courier New" w:hAnsi="Courier New" w:ascii="Courier New"/>
      </w:rPr>
    </w:lvl>
    <w:lvl w:ilvl="8">
      <w:numFmt w:val="bullet"/>
      <w:lvlText w:val=""/>
      <w:lvlJc w:val="left"/>
      <w:pPr>
        <w:ind w:hanging="360" w:left="6262"/>
      </w:pPr>
      <w:rPr>
        <w:rFonts w:hAnsi="Wingdings" w:ascii="Wingdings"/>
      </w:rPr>
    </w:lvl>
  </w:abstractNum>
  <w:abstractNum w:abstractNumId="7">
    <w:nsid w:val="3147300E"/>
    <w:multiLevelType w:val="multilevel"/>
    <w:tmpl w:val="AACCBD9A"/>
    <w:styleLink w:val="WWNum3"/>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8">
    <w:nsid w:val="3F14197F"/>
    <w:multiLevelType w:val="multilevel"/>
    <w:tmpl w:val="B0FE8926"/>
    <w:styleLink w:val="WWNum20"/>
    <w:lvl w:ilvl="0">
      <w:numFmt w:val="bullet"/>
      <w:lvlText w:val="-"/>
      <w:lvlJc w:val="left"/>
      <w:pPr>
        <w:ind w:hanging="360" w:left="720"/>
      </w:pPr>
      <w:rPr>
        <w:rFonts w:cs="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start w:val="1"/>
      <w:numFmt w:val="decimal"/>
      <w:lvlText w:val="%4."/>
      <w:lvlJc w:val="left"/>
      <w:pPr>
        <w:ind w:hanging="360" w:left="502"/>
      </w:pPr>
      <w:rPr>
        <w:b/>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51282B9C"/>
    <w:multiLevelType w:val="multilevel"/>
    <w:tmpl w:val="82FC5C9C"/>
    <w:styleLink w:val="WW8Num3"/>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0">
    <w:nsid w:val="535B0CEA"/>
    <w:multiLevelType w:val="multilevel"/>
    <w:tmpl w:val="58D43CC0"/>
    <w:styleLink w:val="WW8Num6"/>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1">
    <w:nsid w:val="6AC26BCD"/>
    <w:multiLevelType w:val="multilevel"/>
    <w:tmpl w:val="EF728948"/>
    <w:styleLink w:val="WWNum25"/>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72D51463"/>
    <w:multiLevelType w:val="multilevel"/>
    <w:tmpl w:val="7A463280"/>
    <w:styleLink w:val="WW8Num2"/>
    <w:lvl w:ilvl="0">
      <w:numFmt w:val="bullet"/>
      <w:lvlText w:val=""/>
      <w:lvlJc w:val="left"/>
      <w:pPr>
        <w:ind w:hanging="360" w:left="720"/>
      </w:pPr>
      <w:rPr>
        <w:rFonts w:cs="Wingding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3">
    <w:nsid w:val="76381F65"/>
    <w:multiLevelType w:val="multilevel"/>
    <w:tmpl w:val="17B83C9A"/>
    <w:styleLink w:val="WW8Num8"/>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4">
    <w:nsid w:val="783C723D"/>
    <w:multiLevelType w:val="multilevel"/>
    <w:tmpl w:val="A6CEAA20"/>
    <w:styleLink w:val="WW8Num10"/>
    <w:lvl w:ilvl="0">
      <w:numFmt w:val="bullet"/>
      <w:lvlText w:val=""/>
      <w:lvlJc w:val="left"/>
      <w:pPr>
        <w:ind w:hanging="360" w:left="720"/>
      </w:pPr>
      <w:rPr>
        <w:rFonts w:cs="Times New Roman" w:eastAsia="Times New Roman"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5">
    <w:nsid w:val="79AF7419"/>
    <w:multiLevelType w:val="multilevel"/>
    <w:tmpl w:val="751AE16A"/>
    <w:styleLink w:val="WWNum7"/>
    <w:lvl w:ilvl="0">
      <w:start w:val="1"/>
      <w:numFmt w:val="upperLetter"/>
      <w:lvlText w:val="%1)"/>
      <w:lvlJc w:val="left"/>
      <w:pPr>
        <w:ind w:hanging="360" w:left="360"/>
      </w:pPr>
    </w:lvl>
    <w:lvl w:ilvl="1">
      <w:start w:val="1"/>
      <w:numFmt w:val="decimal"/>
      <w:lvlText w:val="%2."/>
      <w:lvlJc w:val="left"/>
      <w:pPr>
        <w:ind w:hanging="360" w:left="360"/>
      </w:pPr>
    </w:lvl>
    <w:lvl w:ilvl="2">
      <w:start w:val="1"/>
      <w:numFmt w:val="lowerRoman"/>
      <w:lvlText w:val="%3."/>
      <w:lvlJc w:val="right"/>
      <w:pPr>
        <w:ind w:hanging="180" w:left="180"/>
      </w:pPr>
    </w:lvl>
    <w:lvl w:ilvl="3">
      <w:start w:val="1"/>
      <w:numFmt w:val="decimal"/>
      <w:lvlText w:val="%4."/>
      <w:lvlJc w:val="left"/>
      <w:pPr>
        <w:ind w:hanging="360" w:left="720"/>
      </w:pPr>
    </w:lvl>
    <w:lvl w:ilvl="4">
      <w:start w:val="1"/>
      <w:numFmt w:val="lowerLetter"/>
      <w:lvlText w:val="%5."/>
      <w:lvlJc w:val="left"/>
      <w:pPr>
        <w:ind w:hanging="360" w:left="1440"/>
      </w:pPr>
    </w:lvl>
    <w:lvl w:ilvl="5">
      <w:start w:val="1"/>
      <w:numFmt w:val="lowerRoman"/>
      <w:lvlText w:val="%6."/>
      <w:lvlJc w:val="right"/>
      <w:pPr>
        <w:ind w:hanging="180" w:left="2160"/>
      </w:pPr>
    </w:lvl>
    <w:lvl w:ilvl="6">
      <w:start w:val="1"/>
      <w:numFmt w:val="decimal"/>
      <w:lvlText w:val="%7."/>
      <w:lvlJc w:val="left"/>
      <w:pPr>
        <w:ind w:hanging="360" w:left="2880"/>
      </w:pPr>
    </w:lvl>
    <w:lvl w:ilvl="7">
      <w:start w:val="1"/>
      <w:numFmt w:val="lowerLetter"/>
      <w:lvlText w:val="%8."/>
      <w:lvlJc w:val="left"/>
      <w:pPr>
        <w:ind w:hanging="360" w:left="3600"/>
      </w:pPr>
    </w:lvl>
    <w:lvl w:ilvl="8">
      <w:start w:val="1"/>
      <w:numFmt w:val="lowerRoman"/>
      <w:lvlText w:val="%9."/>
      <w:lvlJc w:val="right"/>
      <w:pPr>
        <w:ind w:hanging="180" w:left="4320"/>
      </w:pPr>
    </w:lvl>
  </w:abstractNum>
  <w:abstractNum w:abstractNumId="16">
    <w:nsid w:val="7B8209D0"/>
    <w:multiLevelType w:val="multilevel"/>
    <w:tmpl w:val="5B02D4F8"/>
    <w:styleLink w:val="WW8Num5"/>
    <w:lvl w:ilvl="0">
      <w:numFmt w:val="bullet"/>
      <w:lvlText w:val=""/>
      <w:lvlJc w:val="left"/>
      <w:pPr>
        <w:ind w:hanging="360" w:left="1080"/>
      </w:pPr>
      <w:rPr>
        <w:rFonts w:cs="Symbol" w:hAnsi="Symbol" w:ascii="Symbo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cs="Wingdings" w:hAnsi="Wingdings" w:ascii="Wingdings"/>
      </w:rPr>
    </w:lvl>
    <w:lvl w:ilvl="3">
      <w:numFmt w:val="bullet"/>
      <w:lvlText w:val=""/>
      <w:lvlJc w:val="left"/>
      <w:pPr>
        <w:ind w:hanging="360" w:left="3240"/>
      </w:pPr>
      <w:rPr>
        <w:rFonts w:cs="Symbol"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cs="Wingdings" w:hAnsi="Wingdings" w:ascii="Wingdings"/>
      </w:rPr>
    </w:lvl>
    <w:lvl w:ilvl="6">
      <w:numFmt w:val="bullet"/>
      <w:lvlText w:val=""/>
      <w:lvlJc w:val="left"/>
      <w:pPr>
        <w:ind w:hanging="360" w:left="5400"/>
      </w:pPr>
      <w:rPr>
        <w:rFonts w:cs="Symbol"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cs="Wingdings" w:hAnsi="Wingdings" w:ascii="Wingdings"/>
      </w:rPr>
    </w:lvl>
  </w:abstractNum>
  <w:num w:numId="1">
    <w:abstractNumId w:val="6"/>
  </w:num>
  <w:num w:numId="2">
    <w:abstractNumId w:val="7"/>
  </w:num>
  <w:num w:numId="3">
    <w:abstractNumId w:val="2"/>
  </w:num>
  <w:num w:numId="4">
    <w:abstractNumId w:val="8"/>
  </w:num>
  <w:num w:numId="5">
    <w:abstractNumId w:val="15"/>
  </w:num>
  <w:num w:numId="6">
    <w:abstractNumId w:val="5"/>
  </w:num>
  <w:num w:numId="7">
    <w:abstractNumId w:val="11"/>
  </w:num>
  <w:num w:numId="8">
    <w:abstractNumId w:val="0"/>
  </w:num>
  <w:num w:numId="9">
    <w:abstractNumId w:val="12"/>
  </w:num>
  <w:num w:numId="10">
    <w:abstractNumId w:val="9"/>
  </w:num>
  <w:num w:numId="11">
    <w:abstractNumId w:val="4"/>
  </w:num>
  <w:num w:numId="12">
    <w:abstractNumId w:val="16"/>
  </w:num>
  <w:num w:numId="13">
    <w:abstractNumId w:val="10"/>
  </w:num>
  <w:num w:numId="14">
    <w:abstractNumId w:val="1"/>
  </w:num>
  <w:num w:numId="15">
    <w:abstractNumId w:val="13"/>
  </w:num>
  <w:num w:numId="16">
    <w:abstractNumId w:val="3"/>
  </w:num>
  <w:num w:numId="17">
    <w:abstractNumId w:val="14"/>
  </w:num>
  <w:num w:numId="18">
    <w:abstractNumId w:val="7"/>
  </w:num>
  <w:num w:numId="19">
    <w:abstractNumId w:val="2"/>
    <w:lvlOverride w:ilvl="0">
      <w:startOverride w:val="1"/>
    </w:lvlOverride>
  </w:num>
  <w:num w:numId="20">
    <w:abstractNumId w:val="5"/>
  </w:num>
  <w:num w:numId="21">
    <w:abstractNumId w:val="11"/>
  </w:num>
  <w:num w:numId="2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9"/>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
  <w:rsids>
    <w:rsidRoot w:val="006A1DAC"/>
    <w:rsid w:val="00605160"/>
    <w:rsid w:val="006A1DAC"/>
    <w:rsid w:val="00A273BF"/>
    <w:rsid w:val="00CE66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Mangal" w:eastAsia="SimSun" w:hAnsi="Times New Roman" w:ascii="Times New Roman"/>
        <w:kern w:val="3"/>
        <w:sz w:val="24"/>
        <w:szCs w:val="24"/>
        <w:lang w:bidi="hi-IN" w:eastAsia="zh-CN" w:val="hr-HR"/>
      </w:rPr>
    </w:rPrDefault>
    <w:pPrDefault>
      <w:pPr>
        <w:widowControl w:val="false"/>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pPr>
      <w:suppressAutoHyphens/>
    </w:pPr>
  </w:style>
  <w:style w:styleId="Zaglavlje" w:type="paragraph">
    <w:name w:val="header"/>
    <w:basedOn w:val="Standard"/>
    <w:next w:val="Textbody"/>
    <w:pPr>
      <w:keepNext/>
      <w:spacing w:after="120" w:before="240"/>
    </w:pPr>
    <w:rPr>
      <w:rFonts w:cs="Tahoma" w:eastAsia="Andale Sans UI" w:hAnsi="Arial" w:ascii="Arial"/>
      <w:sz w:val="28"/>
      <w:szCs w:val="28"/>
    </w:rPr>
  </w:style>
  <w:style w:customStyle="true"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i/>
      <w:iCs/>
    </w:rPr>
  </w:style>
  <w:style w:customStyle="true" w:styleId="Index" w:type="paragraph">
    <w:name w:val="Index"/>
    <w:basedOn w:val="Standard"/>
    <w:pPr>
      <w:suppressLineNumbers/>
    </w:pPr>
    <w:rPr>
      <w:rFonts w:cs="Tahoma"/>
    </w:rPr>
  </w:style>
  <w:style w:customStyle="true" w:styleId="TableContents" w:type="paragraph">
    <w:name w:val="Table Contents"/>
    <w:basedOn w:val="Standard"/>
    <w:pPr>
      <w:suppressLineNumbers/>
    </w:pPr>
  </w:style>
  <w:style w:styleId="Odlomakpopisa" w:type="paragraph">
    <w:name w:val="List Paragraph"/>
    <w:basedOn w:val="Standard"/>
    <w:pPr>
      <w:ind w:left="720"/>
    </w:pPr>
  </w:style>
  <w:style w:styleId="Tekstbalonia" w:type="paragraph">
    <w:name w:val="Balloon Text"/>
    <w:basedOn w:val="Standard"/>
    <w:rPr>
      <w:rFonts w:cs="Tahoma" w:hAnsi="Tahoma" w:ascii="Tahoma"/>
      <w:sz w:val="16"/>
      <w:szCs w:val="16"/>
    </w:rPr>
  </w:style>
  <w:style w:customStyle="true" w:styleId="TableHeading" w:type="paragraph">
    <w:name w:val="Table Heading"/>
    <w:basedOn w:val="TableContents"/>
    <w:pPr>
      <w:jc w:val="center"/>
    </w:pPr>
    <w:rPr>
      <w:b/>
      <w:bCs/>
    </w:rPr>
  </w:style>
  <w:style w:styleId="Bezproreda" w:type="paragraph">
    <w:name w:val="No Spacing"/>
    <w:pPr>
      <w:widowControl/>
      <w:suppressAutoHyphens/>
    </w:pPr>
    <w:rPr>
      <w:rFonts w:cs="Times New Roman" w:eastAsia="Times New Roman"/>
      <w:lang w:bidi="ar-SA"/>
    </w:rPr>
  </w:style>
  <w:style w:customStyle="true" w:styleId="WW8Num8z2" w:type="character">
    <w:name w:val="WW8Num8z2"/>
    <w:rPr>
      <w:rFonts w:cs="Wingdings" w:hAnsi="Wingdings" w:ascii="Wingdings"/>
    </w:rPr>
  </w:style>
  <w:style w:customStyle="true" w:styleId="WW8Num8z1" w:type="character">
    <w:name w:val="WW8Num8z1"/>
    <w:rPr>
      <w:rFonts w:cs="Courier New" w:hAnsi="Courier New" w:ascii="Courier New"/>
    </w:rPr>
  </w:style>
  <w:style w:customStyle="true" w:styleId="WW8Num8z0" w:type="character">
    <w:name w:val="WW8Num8z0"/>
    <w:rPr>
      <w:rFonts w:cs="Symbol" w:hAnsi="Symbol" w:ascii="Symbol"/>
    </w:rPr>
  </w:style>
  <w:style w:customStyle="true" w:styleId="WW8Num7z2" w:type="character">
    <w:name w:val="WW8Num7z2"/>
    <w:rPr>
      <w:rFonts w:cs="Wingdings" w:hAnsi="Wingdings" w:ascii="Wingdings"/>
    </w:rPr>
  </w:style>
  <w:style w:customStyle="true" w:styleId="WW8Num7z1" w:type="character">
    <w:name w:val="WW8Num7z1"/>
    <w:rPr>
      <w:rFonts w:cs="Courier New" w:hAnsi="Courier New" w:ascii="Courier New"/>
    </w:rPr>
  </w:style>
  <w:style w:customStyle="true" w:styleId="WW8Num7z0" w:type="character">
    <w:name w:val="WW8Num7z0"/>
    <w:rPr>
      <w:rFonts w:cs="Symbol" w:hAnsi="Symbol" w:ascii="Symbol"/>
    </w:rPr>
  </w:style>
  <w:style w:customStyle="true" w:styleId="WW8Num6z2" w:type="character">
    <w:name w:val="WW8Num6z2"/>
    <w:rPr>
      <w:rFonts w:cs="Wingdings" w:hAnsi="Wingdings" w:ascii="Wingdings"/>
    </w:rPr>
  </w:style>
  <w:style w:customStyle="true" w:styleId="WW8Num6z1" w:type="character">
    <w:name w:val="WW8Num6z1"/>
    <w:rPr>
      <w:rFonts w:cs="Courier New" w:hAnsi="Courier New" w:ascii="Courier New"/>
    </w:rPr>
  </w:style>
  <w:style w:customStyle="true" w:styleId="WW8Num6z0" w:type="character">
    <w:name w:val="WW8Num6z0"/>
    <w:rPr>
      <w:rFonts w:cs="Symbol" w:hAnsi="Symbol" w:ascii="Symbol"/>
    </w:rPr>
  </w:style>
  <w:style w:customStyle="true" w:styleId="WW8Num5z2" w:type="character">
    <w:name w:val="WW8Num5z2"/>
    <w:rPr>
      <w:rFonts w:cs="Wingdings" w:hAnsi="Wingdings" w:ascii="Wingdings"/>
    </w:rPr>
  </w:style>
  <w:style w:customStyle="true" w:styleId="WW8Num5z1" w:type="character">
    <w:name w:val="WW8Num5z1"/>
    <w:rPr>
      <w:rFonts w:cs="Courier New" w:hAnsi="Courier New" w:ascii="Courier New"/>
    </w:rPr>
  </w:style>
  <w:style w:customStyle="true" w:styleId="WW8Num5z0" w:type="character">
    <w:name w:val="WW8Num5z0"/>
    <w:rPr>
      <w:rFonts w:cs="Symbol" w:hAnsi="Symbol" w:ascii="Symbol"/>
    </w:rPr>
  </w:style>
  <w:style w:customStyle="true" w:styleId="WW8Num4z3" w:type="character">
    <w:name w:val="WW8Num4z3"/>
    <w:rPr>
      <w:rFonts w:cs="Symbol" w:hAnsi="Symbol" w:ascii="Symbol"/>
    </w:rPr>
  </w:style>
  <w:style w:customStyle="true" w:styleId="WW8Num4z1" w:type="character">
    <w:name w:val="WW8Num4z1"/>
    <w:rPr>
      <w:rFonts w:cs="Courier New" w:hAnsi="Courier New" w:ascii="Courier New"/>
    </w:rPr>
  </w:style>
  <w:style w:customStyle="true" w:styleId="WW8Num4z0" w:type="character">
    <w:name w:val="WW8Num4z0"/>
    <w:rPr>
      <w:rFonts w:cs="Wingdings" w:hAnsi="Wingdings" w:ascii="Wingdings"/>
    </w:rPr>
  </w:style>
  <w:style w:customStyle="true" w:styleId="WW8Num3z2" w:type="character">
    <w:name w:val="WW8Num3z2"/>
    <w:rPr>
      <w:rFonts w:cs="Wingdings" w:hAnsi="Wingdings" w:ascii="Wingdings"/>
    </w:rPr>
  </w:style>
  <w:style w:customStyle="true" w:styleId="WW8Num3z1" w:type="character">
    <w:name w:val="WW8Num3z1"/>
    <w:rPr>
      <w:rFonts w:cs="Courier New" w:hAnsi="Courier New" w:ascii="Courier New"/>
    </w:rPr>
  </w:style>
  <w:style w:customStyle="true" w:styleId="WW8Num3z0" w:type="character">
    <w:name w:val="WW8Num3z0"/>
    <w:rPr>
      <w:rFonts w:cs="Symbol" w:hAnsi="Symbol" w:ascii="Symbol"/>
    </w:rPr>
  </w:style>
  <w:style w:customStyle="true" w:styleId="WW8Num2z3" w:type="character">
    <w:name w:val="WW8Num2z3"/>
    <w:rPr>
      <w:rFonts w:cs="Symbol" w:hAnsi="Symbol" w:ascii="Symbol"/>
    </w:rPr>
  </w:style>
  <w:style w:customStyle="true" w:styleId="WW8Num2z1" w:type="character">
    <w:name w:val="WW8Num2z1"/>
    <w:rPr>
      <w:rFonts w:cs="Courier New" w:hAnsi="Courier New" w:ascii="Courier New"/>
    </w:rPr>
  </w:style>
  <w:style w:customStyle="true" w:styleId="WW8Num2z0" w:type="character">
    <w:name w:val="WW8Num2z0"/>
    <w:rPr>
      <w:rFonts w:cs="Wingdings" w:hAnsi="Wingdings" w:ascii="Wingdings"/>
    </w:rPr>
  </w:style>
  <w:style w:customStyle="true" w:styleId="WW8Num1z2" w:type="character">
    <w:name w:val="WW8Num1z2"/>
    <w:rPr>
      <w:rFonts w:cs="Wingdings" w:hAnsi="Wingdings" w:ascii="Wingdings"/>
    </w:rPr>
  </w:style>
  <w:style w:customStyle="true" w:styleId="WW8Num1z1" w:type="character">
    <w:name w:val="WW8Num1z1"/>
    <w:rPr>
      <w:rFonts w:cs="Courier New" w:hAnsi="Courier New" w:ascii="Courier New"/>
    </w:rPr>
  </w:style>
  <w:style w:customStyle="true" w:styleId="WW8Num1z0" w:type="character">
    <w:name w:val="WW8Num1z0"/>
    <w:rPr>
      <w:rFonts w:cs="Symbol" w:hAnsi="Symbol" w:ascii="Symbol"/>
    </w:rPr>
  </w:style>
  <w:style w:customStyle="true" w:styleId="TekstbaloniaChar" w:type="character">
    <w:name w:val="Tekst balončića Char"/>
    <w:rPr>
      <w:rFonts w:cs="Segoe UI" w:hAnsi="Segoe UI" w:ascii="Segoe UI"/>
      <w:sz w:val="18"/>
      <w:szCs w:val="18"/>
    </w:rPr>
  </w:style>
  <w:style w:customStyle="true" w:styleId="WW8Num10z3" w:type="character">
    <w:name w:val="WW8Num10z3"/>
    <w:rPr>
      <w:rFonts w:cs="Symbol" w:hAnsi="Symbol" w:ascii="Symbol"/>
    </w:rPr>
  </w:style>
  <w:style w:customStyle="true" w:styleId="WW8Num10z2" w:type="character">
    <w:name w:val="WW8Num10z2"/>
    <w:rPr>
      <w:rFonts w:cs="Wingdings" w:hAnsi="Wingdings" w:ascii="Wingdings"/>
    </w:rPr>
  </w:style>
  <w:style w:customStyle="true" w:styleId="WW8Num10z1" w:type="character">
    <w:name w:val="WW8Num10z1"/>
    <w:rPr>
      <w:rFonts w:cs="Courier New" w:hAnsi="Courier New" w:ascii="Courier New"/>
    </w:rPr>
  </w:style>
  <w:style w:customStyle="true" w:styleId="WW8Num10z0" w:type="character">
    <w:name w:val="WW8Num10z0"/>
    <w:rPr>
      <w:rFonts w:cs="Times New Roman" w:eastAsia="Times New Roman" w:hAnsi="Symbol" w:ascii="Symbol"/>
    </w:rPr>
  </w:style>
  <w:style w:customStyle="true" w:styleId="WW8Num8z3" w:type="character">
    <w:name w:val="WW8Num8z3"/>
    <w:rPr>
      <w:rFonts w:cs="Symbol" w:hAnsi="Symbol" w:ascii="Symbol"/>
    </w:rPr>
  </w:style>
  <w:style w:customStyle="true" w:styleId="WW8Num7z3" w:type="character">
    <w:name w:val="WW8Num7z3"/>
    <w:rPr>
      <w:rFonts w:cs="Symbol" w:hAnsi="Symbol" w:ascii="Symbol"/>
    </w:rPr>
  </w:style>
  <w:style w:customStyle="true" w:styleId="WW8Num6z3" w:type="character">
    <w:name w:val="WW8Num6z3"/>
    <w:rPr>
      <w:rFonts w:cs="Symbol" w:hAnsi="Symbol" w:ascii="Symbol"/>
    </w:rPr>
  </w:style>
  <w:style w:customStyle="true" w:styleId="WW8Num5z3" w:type="character">
    <w:name w:val="WW8Num5z3"/>
    <w:rPr>
      <w:rFonts w:cs="Symbol" w:hAnsi="Symbol" w:ascii="Symbol"/>
    </w:rPr>
  </w:style>
  <w:style w:customStyle="true" w:styleId="WW8Num4z2" w:type="character">
    <w:name w:val="WW8Num4z2"/>
    <w:rPr>
      <w:rFonts w:cs="Wingdings" w:hAnsi="Wingdings" w:ascii="Wingdings"/>
    </w:rPr>
  </w:style>
  <w:style w:customStyle="true" w:styleId="WW8Num3z3" w:type="character">
    <w:name w:val="WW8Num3z3"/>
    <w:rPr>
      <w:rFonts w:cs="Symbol" w:hAnsi="Symbol" w:ascii="Symbol"/>
    </w:rPr>
  </w:style>
  <w:style w:customStyle="true" w:styleId="WW8Num2z2" w:type="character">
    <w:name w:val="WW8Num2z2"/>
    <w:rPr>
      <w:rFonts w:cs="Wingdings" w:hAnsi="Wingdings" w:ascii="Wingdings"/>
    </w:rPr>
  </w:style>
  <w:style w:customStyle="true" w:styleId="WW8Num1z3" w:type="character">
    <w:name w:val="WW8Num1z3"/>
    <w:rPr>
      <w:rFonts w:cs="Symbol" w:hAnsi="Symbol" w:ascii="Symbol"/>
    </w:rPr>
  </w:style>
  <w:style w:customStyle="true" w:styleId="WWNum9" w:type="numbering">
    <w:name w:val="WWNum9"/>
    <w:basedOn w:val="Bezpopisa"/>
    <w:pPr>
      <w:numPr>
        <w:numId w:val="1"/>
      </w:numPr>
    </w:pPr>
  </w:style>
  <w:style w:customStyle="true" w:styleId="WWNum3" w:type="numbering">
    <w:name w:val="WWNum3"/>
    <w:basedOn w:val="Bezpopisa"/>
    <w:pPr>
      <w:numPr>
        <w:numId w:val="2"/>
      </w:numPr>
    </w:pPr>
  </w:style>
  <w:style w:customStyle="true" w:styleId="WWNum15" w:type="numbering">
    <w:name w:val="WWNum15"/>
    <w:basedOn w:val="Bezpopisa"/>
    <w:pPr>
      <w:numPr>
        <w:numId w:val="3"/>
      </w:numPr>
    </w:pPr>
  </w:style>
  <w:style w:customStyle="true" w:styleId="WWNum20" w:type="numbering">
    <w:name w:val="WWNum20"/>
    <w:basedOn w:val="Bezpopisa"/>
    <w:pPr>
      <w:numPr>
        <w:numId w:val="4"/>
      </w:numPr>
    </w:pPr>
  </w:style>
  <w:style w:customStyle="true" w:styleId="WWNum7" w:type="numbering">
    <w:name w:val="WWNum7"/>
    <w:basedOn w:val="Bezpopisa"/>
    <w:pPr>
      <w:numPr>
        <w:numId w:val="5"/>
      </w:numPr>
    </w:pPr>
  </w:style>
  <w:style w:customStyle="true" w:styleId="WWNum23" w:type="numbering">
    <w:name w:val="WWNum23"/>
    <w:basedOn w:val="Bezpopisa"/>
    <w:pPr>
      <w:numPr>
        <w:numId w:val="6"/>
      </w:numPr>
    </w:pPr>
  </w:style>
  <w:style w:customStyle="true" w:styleId="WWNum25" w:type="numbering">
    <w:name w:val="WWNum25"/>
    <w:basedOn w:val="Bezpopisa"/>
    <w:pPr>
      <w:numPr>
        <w:numId w:val="7"/>
      </w:numPr>
    </w:pPr>
  </w:style>
  <w:style w:customStyle="true" w:styleId="WW8Num1" w:type="numbering">
    <w:name w:val="WW8Num1"/>
    <w:basedOn w:val="Bezpopisa"/>
    <w:pPr>
      <w:numPr>
        <w:numId w:val="8"/>
      </w:numPr>
    </w:pPr>
  </w:style>
  <w:style w:customStyle="true" w:styleId="WW8Num2" w:type="numbering">
    <w:name w:val="WW8Num2"/>
    <w:basedOn w:val="Bezpopisa"/>
    <w:pPr>
      <w:numPr>
        <w:numId w:val="9"/>
      </w:numPr>
    </w:pPr>
  </w:style>
  <w:style w:customStyle="true" w:styleId="WW8Num3" w:type="numbering">
    <w:name w:val="WW8Num3"/>
    <w:basedOn w:val="Bezpopisa"/>
    <w:pPr>
      <w:numPr>
        <w:numId w:val="10"/>
      </w:numPr>
    </w:pPr>
  </w:style>
  <w:style w:customStyle="true" w:styleId="WW8Num4" w:type="numbering">
    <w:name w:val="WW8Num4"/>
    <w:basedOn w:val="Bezpopisa"/>
    <w:pPr>
      <w:numPr>
        <w:numId w:val="11"/>
      </w:numPr>
    </w:pPr>
  </w:style>
  <w:style w:customStyle="true" w:styleId="WW8Num5" w:type="numbering">
    <w:name w:val="WW8Num5"/>
    <w:basedOn w:val="Bezpopisa"/>
    <w:pPr>
      <w:numPr>
        <w:numId w:val="12"/>
      </w:numPr>
    </w:pPr>
  </w:style>
  <w:style w:customStyle="true" w:styleId="WW8Num6" w:type="numbering">
    <w:name w:val="WW8Num6"/>
    <w:basedOn w:val="Bezpopisa"/>
    <w:pPr>
      <w:numPr>
        <w:numId w:val="13"/>
      </w:numPr>
    </w:pPr>
  </w:style>
  <w:style w:customStyle="true" w:styleId="WW8Num7" w:type="numbering">
    <w:name w:val="WW8Num7"/>
    <w:basedOn w:val="Bezpopisa"/>
    <w:pPr>
      <w:numPr>
        <w:numId w:val="14"/>
      </w:numPr>
    </w:pPr>
  </w:style>
  <w:style w:customStyle="true" w:styleId="WW8Num8" w:type="numbering">
    <w:name w:val="WW8Num8"/>
    <w:basedOn w:val="Bezpopisa"/>
    <w:pPr>
      <w:numPr>
        <w:numId w:val="15"/>
      </w:numPr>
    </w:pPr>
  </w:style>
  <w:style w:customStyle="true" w:styleId="WW8Num9" w:type="numbering">
    <w:name w:val="WW8Num9"/>
    <w:basedOn w:val="Bezpopisa"/>
    <w:pPr>
      <w:numPr>
        <w:numId w:val="16"/>
      </w:numPr>
    </w:pPr>
  </w:style>
  <w:style w:customStyle="true" w:styleId="WW8Num10" w:type="numbering">
    <w:name w:val="WW8Num10"/>
    <w:basedOn w:val="Bezpopisa"/>
    <w:pPr>
      <w:numPr>
        <w:numId w:val="17"/>
      </w:numPr>
    </w:pPr>
  </w:style>
  <w:style w:styleId="Tekstrezerviranogmjesta" w:type="character">
    <w:name w:val="Placeholder Text"/>
    <w:basedOn w:val="Zadanifontodlomka"/>
    <w:uiPriority w:val="99"/>
    <w:semiHidden/>
    <w:rsid w:val="00605160"/>
    <w:rPr>
      <w:color w:val="808080"/>
      <w:bdr w:space="0" w:sz="0" w:color="auto" w:val="none"/>
      <w:shd w:fill="auto" w:color="auto" w:val="clear"/>
    </w:rPr>
  </w:style>
  <w:style w:customStyle="true" w:styleId="eSPISCCParagraphDefaultFont" w:type="character">
    <w:name w:val="eSPIS_CC_Paragraph Default Font"/>
    <w:basedOn w:val="Zadanifontodlomka"/>
    <w:rsid w:val="006051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5160"/>
    <w:rPr>
      <w:b/>
      <w:bdr w:space="0" w:sz="0" w:color="auto" w:val="none"/>
      <w:shd w:fill="FFFFCC" w:color="auto" w:val="clear"/>
      <w:lang w:val="hr-HR"/>
    </w:rPr>
  </w:style>
  <w:style w:customStyle="true" w:styleId="PozadinaSvijetloCrvena" w:type="character">
    <w:name w:val="Pozadina_SvijetloCrvena"/>
    <w:basedOn w:val="eSPISCCParagraphDefaultFont"/>
    <w:rsid w:val="0060516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0516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Mangal" w:eastAsia="SimSun" w:hAnsi="Times New Roman"/>
        <w:kern w:val="3"/>
        <w:sz w:val="24"/>
        <w:szCs w:val="24"/>
        <w:lang w:bidi="hi-IN" w:eastAsia="zh-CN" w:val="hr-HR"/>
      </w:rPr>
    </w:rPrDefault>
    <w:pPrDefault>
      <w:pPr>
        <w:widowControl w:val="0"/>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pPr>
      <w:suppressAutoHyphens/>
    </w:pPr>
  </w:style>
  <w:style w:styleId="Zaglavlje" w:type="paragraph">
    <w:name w:val="header"/>
    <w:basedOn w:val="Standard"/>
    <w:next w:val="Textbody"/>
    <w:pPr>
      <w:keepNext/>
      <w:spacing w:after="120" w:before="240"/>
    </w:pPr>
    <w:rPr>
      <w:rFonts w:ascii="Arial" w:cs="Tahoma" w:eastAsia="Andale Sans UI" w:hAnsi="Arial"/>
      <w:sz w:val="28"/>
      <w:szCs w:val="28"/>
    </w:rPr>
  </w:style>
  <w:style w:customStyle="1"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i/>
      <w:iCs/>
    </w:rPr>
  </w:style>
  <w:style w:customStyle="1" w:styleId="Index" w:type="paragraph">
    <w:name w:val="Index"/>
    <w:basedOn w:val="Standard"/>
    <w:pPr>
      <w:suppressLineNumbers/>
    </w:pPr>
    <w:rPr>
      <w:rFonts w:cs="Tahoma"/>
    </w:rPr>
  </w:style>
  <w:style w:customStyle="1" w:styleId="TableContents" w:type="paragraph">
    <w:name w:val="Table Contents"/>
    <w:basedOn w:val="Standard"/>
    <w:pPr>
      <w:suppressLineNumbers/>
    </w:pPr>
  </w:style>
  <w:style w:styleId="Odlomakpopisa" w:type="paragraph">
    <w:name w:val="List Paragraph"/>
    <w:basedOn w:val="Standard"/>
    <w:pPr>
      <w:ind w:left="720"/>
    </w:pPr>
  </w:style>
  <w:style w:styleId="Tekstbalonia" w:type="paragraph">
    <w:name w:val="Balloon Text"/>
    <w:basedOn w:val="Standard"/>
    <w:rPr>
      <w:rFonts w:ascii="Tahoma" w:cs="Tahoma" w:hAnsi="Tahoma"/>
      <w:sz w:val="16"/>
      <w:szCs w:val="16"/>
    </w:rPr>
  </w:style>
  <w:style w:customStyle="1" w:styleId="TableHeading" w:type="paragraph">
    <w:name w:val="Table Heading"/>
    <w:basedOn w:val="TableContents"/>
    <w:pPr>
      <w:jc w:val="center"/>
    </w:pPr>
    <w:rPr>
      <w:b/>
      <w:bCs/>
    </w:rPr>
  </w:style>
  <w:style w:styleId="Bezproreda" w:type="paragraph">
    <w:name w:val="No Spacing"/>
    <w:pPr>
      <w:widowControl/>
      <w:suppressAutoHyphens/>
    </w:pPr>
    <w:rPr>
      <w:rFonts w:cs="Times New Roman" w:eastAsia="Times New Roman"/>
      <w:lang w:bidi="ar-SA"/>
    </w:rPr>
  </w:style>
  <w:style w:customStyle="1" w:styleId="WW8Num8z2" w:type="character">
    <w:name w:val="WW8Num8z2"/>
    <w:rPr>
      <w:rFonts w:ascii="Wingdings" w:cs="Wingdings" w:hAnsi="Wingdings"/>
    </w:rPr>
  </w:style>
  <w:style w:customStyle="1" w:styleId="WW8Num8z1" w:type="character">
    <w:name w:val="WW8Num8z1"/>
    <w:rPr>
      <w:rFonts w:ascii="Courier New" w:cs="Courier New" w:hAnsi="Courier New"/>
    </w:rPr>
  </w:style>
  <w:style w:customStyle="1" w:styleId="WW8Num8z0" w:type="character">
    <w:name w:val="WW8Num8z0"/>
    <w:rPr>
      <w:rFonts w:ascii="Symbol" w:cs="Symbol" w:hAnsi="Symbol"/>
    </w:rPr>
  </w:style>
  <w:style w:customStyle="1" w:styleId="WW8Num7z2" w:type="character">
    <w:name w:val="WW8Num7z2"/>
    <w:rPr>
      <w:rFonts w:ascii="Wingdings" w:cs="Wingdings" w:hAnsi="Wingdings"/>
    </w:rPr>
  </w:style>
  <w:style w:customStyle="1" w:styleId="WW8Num7z1" w:type="character">
    <w:name w:val="WW8Num7z1"/>
    <w:rPr>
      <w:rFonts w:ascii="Courier New" w:cs="Courier New" w:hAnsi="Courier New"/>
    </w:rPr>
  </w:style>
  <w:style w:customStyle="1" w:styleId="WW8Num7z0" w:type="character">
    <w:name w:val="WW8Num7z0"/>
    <w:rPr>
      <w:rFonts w:ascii="Symbol" w:cs="Symbol" w:hAnsi="Symbol"/>
    </w:rPr>
  </w:style>
  <w:style w:customStyle="1" w:styleId="WW8Num6z2" w:type="character">
    <w:name w:val="WW8Num6z2"/>
    <w:rPr>
      <w:rFonts w:ascii="Wingdings" w:cs="Wingdings" w:hAnsi="Wingdings"/>
    </w:rPr>
  </w:style>
  <w:style w:customStyle="1" w:styleId="WW8Num6z1" w:type="character">
    <w:name w:val="WW8Num6z1"/>
    <w:rPr>
      <w:rFonts w:ascii="Courier New" w:cs="Courier New" w:hAnsi="Courier New"/>
    </w:rPr>
  </w:style>
  <w:style w:customStyle="1" w:styleId="WW8Num6z0" w:type="character">
    <w:name w:val="WW8Num6z0"/>
    <w:rPr>
      <w:rFonts w:ascii="Symbol" w:cs="Symbol" w:hAnsi="Symbol"/>
    </w:rPr>
  </w:style>
  <w:style w:customStyle="1" w:styleId="WW8Num5z2" w:type="character">
    <w:name w:val="WW8Num5z2"/>
    <w:rPr>
      <w:rFonts w:ascii="Wingdings" w:cs="Wingdings" w:hAnsi="Wingdings"/>
    </w:rPr>
  </w:style>
  <w:style w:customStyle="1" w:styleId="WW8Num5z1" w:type="character">
    <w:name w:val="WW8Num5z1"/>
    <w:rPr>
      <w:rFonts w:ascii="Courier New" w:cs="Courier New" w:hAnsi="Courier New"/>
    </w:rPr>
  </w:style>
  <w:style w:customStyle="1" w:styleId="WW8Num5z0" w:type="character">
    <w:name w:val="WW8Num5z0"/>
    <w:rPr>
      <w:rFonts w:ascii="Symbol" w:cs="Symbol" w:hAnsi="Symbol"/>
    </w:rPr>
  </w:style>
  <w:style w:customStyle="1" w:styleId="WW8Num4z3" w:type="character">
    <w:name w:val="WW8Num4z3"/>
    <w:rPr>
      <w:rFonts w:ascii="Symbol" w:cs="Symbol" w:hAnsi="Symbol"/>
    </w:rPr>
  </w:style>
  <w:style w:customStyle="1" w:styleId="WW8Num4z1" w:type="character">
    <w:name w:val="WW8Num4z1"/>
    <w:rPr>
      <w:rFonts w:ascii="Courier New" w:cs="Courier New" w:hAnsi="Courier New"/>
    </w:rPr>
  </w:style>
  <w:style w:customStyle="1" w:styleId="WW8Num4z0" w:type="character">
    <w:name w:val="WW8Num4z0"/>
    <w:rPr>
      <w:rFonts w:ascii="Wingdings" w:cs="Wingdings" w:hAnsi="Wingdings"/>
    </w:rPr>
  </w:style>
  <w:style w:customStyle="1" w:styleId="WW8Num3z2" w:type="character">
    <w:name w:val="WW8Num3z2"/>
    <w:rPr>
      <w:rFonts w:ascii="Wingdings" w:cs="Wingdings" w:hAnsi="Wingdings"/>
    </w:rPr>
  </w:style>
  <w:style w:customStyle="1" w:styleId="WW8Num3z1" w:type="character">
    <w:name w:val="WW8Num3z1"/>
    <w:rPr>
      <w:rFonts w:ascii="Courier New" w:cs="Courier New" w:hAnsi="Courier New"/>
    </w:rPr>
  </w:style>
  <w:style w:customStyle="1" w:styleId="WW8Num3z0" w:type="character">
    <w:name w:val="WW8Num3z0"/>
    <w:rPr>
      <w:rFonts w:ascii="Symbol" w:cs="Symbol" w:hAnsi="Symbol"/>
    </w:rPr>
  </w:style>
  <w:style w:customStyle="1" w:styleId="WW8Num2z3" w:type="character">
    <w:name w:val="WW8Num2z3"/>
    <w:rPr>
      <w:rFonts w:ascii="Symbol" w:cs="Symbol" w:hAnsi="Symbol"/>
    </w:rPr>
  </w:style>
  <w:style w:customStyle="1" w:styleId="WW8Num2z1" w:type="character">
    <w:name w:val="WW8Num2z1"/>
    <w:rPr>
      <w:rFonts w:ascii="Courier New" w:cs="Courier New" w:hAnsi="Courier New"/>
    </w:rPr>
  </w:style>
  <w:style w:customStyle="1" w:styleId="WW8Num2z0" w:type="character">
    <w:name w:val="WW8Num2z0"/>
    <w:rPr>
      <w:rFonts w:ascii="Wingdings" w:cs="Wingdings" w:hAnsi="Wingdings"/>
    </w:rPr>
  </w:style>
  <w:style w:customStyle="1" w:styleId="WW8Num1z2" w:type="character">
    <w:name w:val="WW8Num1z2"/>
    <w:rPr>
      <w:rFonts w:ascii="Wingdings" w:cs="Wingdings" w:hAnsi="Wingdings"/>
    </w:rPr>
  </w:style>
  <w:style w:customStyle="1" w:styleId="WW8Num1z1" w:type="character">
    <w:name w:val="WW8Num1z1"/>
    <w:rPr>
      <w:rFonts w:ascii="Courier New" w:cs="Courier New" w:hAnsi="Courier New"/>
    </w:rPr>
  </w:style>
  <w:style w:customStyle="1" w:styleId="WW8Num1z0" w:type="character">
    <w:name w:val="WW8Num1z0"/>
    <w:rPr>
      <w:rFonts w:ascii="Symbol" w:cs="Symbol" w:hAnsi="Symbol"/>
    </w:rPr>
  </w:style>
  <w:style w:customStyle="1" w:styleId="TekstbaloniaChar" w:type="character">
    <w:name w:val="Tekst balončića Char"/>
    <w:rPr>
      <w:rFonts w:ascii="Segoe UI" w:cs="Segoe UI" w:hAnsi="Segoe UI"/>
      <w:sz w:val="18"/>
      <w:szCs w:val="18"/>
    </w:rPr>
  </w:style>
  <w:style w:customStyle="1" w:styleId="WW8Num10z3" w:type="character">
    <w:name w:val="WW8Num10z3"/>
    <w:rPr>
      <w:rFonts w:ascii="Symbol" w:cs="Symbol" w:hAnsi="Symbol"/>
    </w:rPr>
  </w:style>
  <w:style w:customStyle="1" w:styleId="WW8Num10z2" w:type="character">
    <w:name w:val="WW8Num10z2"/>
    <w:rPr>
      <w:rFonts w:ascii="Wingdings" w:cs="Wingdings" w:hAnsi="Wingdings"/>
    </w:rPr>
  </w:style>
  <w:style w:customStyle="1" w:styleId="WW8Num10z1" w:type="character">
    <w:name w:val="WW8Num10z1"/>
    <w:rPr>
      <w:rFonts w:ascii="Courier New" w:cs="Courier New" w:hAnsi="Courier New"/>
    </w:rPr>
  </w:style>
  <w:style w:customStyle="1" w:styleId="WW8Num10z0" w:type="character">
    <w:name w:val="WW8Num10z0"/>
    <w:rPr>
      <w:rFonts w:ascii="Symbol" w:cs="Times New Roman" w:eastAsia="Times New Roman" w:hAnsi="Symbol"/>
    </w:rPr>
  </w:style>
  <w:style w:customStyle="1" w:styleId="WW8Num8z3" w:type="character">
    <w:name w:val="WW8Num8z3"/>
    <w:rPr>
      <w:rFonts w:ascii="Symbol" w:cs="Symbol" w:hAnsi="Symbol"/>
    </w:rPr>
  </w:style>
  <w:style w:customStyle="1" w:styleId="WW8Num7z3" w:type="character">
    <w:name w:val="WW8Num7z3"/>
    <w:rPr>
      <w:rFonts w:ascii="Symbol" w:cs="Symbol" w:hAnsi="Symbol"/>
    </w:rPr>
  </w:style>
  <w:style w:customStyle="1" w:styleId="WW8Num6z3" w:type="character">
    <w:name w:val="WW8Num6z3"/>
    <w:rPr>
      <w:rFonts w:ascii="Symbol" w:cs="Symbol" w:hAnsi="Symbol"/>
    </w:rPr>
  </w:style>
  <w:style w:customStyle="1" w:styleId="WW8Num5z3" w:type="character">
    <w:name w:val="WW8Num5z3"/>
    <w:rPr>
      <w:rFonts w:ascii="Symbol" w:cs="Symbol" w:hAnsi="Symbol"/>
    </w:rPr>
  </w:style>
  <w:style w:customStyle="1" w:styleId="WW8Num4z2" w:type="character">
    <w:name w:val="WW8Num4z2"/>
    <w:rPr>
      <w:rFonts w:ascii="Wingdings" w:cs="Wingdings" w:hAnsi="Wingdings"/>
    </w:rPr>
  </w:style>
  <w:style w:customStyle="1" w:styleId="WW8Num3z3" w:type="character">
    <w:name w:val="WW8Num3z3"/>
    <w:rPr>
      <w:rFonts w:ascii="Symbol" w:cs="Symbol" w:hAnsi="Symbol"/>
    </w:rPr>
  </w:style>
  <w:style w:customStyle="1" w:styleId="WW8Num2z2" w:type="character">
    <w:name w:val="WW8Num2z2"/>
    <w:rPr>
      <w:rFonts w:ascii="Wingdings" w:cs="Wingdings" w:hAnsi="Wingdings"/>
    </w:rPr>
  </w:style>
  <w:style w:customStyle="1" w:styleId="WW8Num1z3" w:type="character">
    <w:name w:val="WW8Num1z3"/>
    <w:rPr>
      <w:rFonts w:ascii="Symbol" w:cs="Symbol" w:hAnsi="Symbol"/>
    </w:rPr>
  </w:style>
  <w:style w:customStyle="1" w:styleId="WWNum9" w:type="numbering">
    <w:name w:val="WWNum9"/>
    <w:basedOn w:val="Bezpopisa"/>
    <w:pPr>
      <w:numPr>
        <w:numId w:val="1"/>
      </w:numPr>
    </w:pPr>
  </w:style>
  <w:style w:customStyle="1" w:styleId="WWNum3" w:type="numbering">
    <w:name w:val="WWNum3"/>
    <w:basedOn w:val="Bezpopisa"/>
    <w:pPr>
      <w:numPr>
        <w:numId w:val="2"/>
      </w:numPr>
    </w:pPr>
  </w:style>
  <w:style w:customStyle="1" w:styleId="WWNum15" w:type="numbering">
    <w:name w:val="WWNum15"/>
    <w:basedOn w:val="Bezpopisa"/>
    <w:pPr>
      <w:numPr>
        <w:numId w:val="3"/>
      </w:numPr>
    </w:pPr>
  </w:style>
  <w:style w:customStyle="1" w:styleId="WWNum20" w:type="numbering">
    <w:name w:val="WWNum20"/>
    <w:basedOn w:val="Bezpopisa"/>
    <w:pPr>
      <w:numPr>
        <w:numId w:val="4"/>
      </w:numPr>
    </w:pPr>
  </w:style>
  <w:style w:customStyle="1" w:styleId="WWNum7" w:type="numbering">
    <w:name w:val="WWNum7"/>
    <w:basedOn w:val="Bezpopisa"/>
    <w:pPr>
      <w:numPr>
        <w:numId w:val="5"/>
      </w:numPr>
    </w:pPr>
  </w:style>
  <w:style w:customStyle="1" w:styleId="WWNum23" w:type="numbering">
    <w:name w:val="WWNum23"/>
    <w:basedOn w:val="Bezpopisa"/>
    <w:pPr>
      <w:numPr>
        <w:numId w:val="6"/>
      </w:numPr>
    </w:pPr>
  </w:style>
  <w:style w:customStyle="1" w:styleId="WWNum25" w:type="numbering">
    <w:name w:val="WWNum25"/>
    <w:basedOn w:val="Bezpopisa"/>
    <w:pPr>
      <w:numPr>
        <w:numId w:val="7"/>
      </w:numPr>
    </w:pPr>
  </w:style>
  <w:style w:customStyle="1" w:styleId="WW8Num1" w:type="numbering">
    <w:name w:val="WW8Num1"/>
    <w:basedOn w:val="Bezpopisa"/>
    <w:pPr>
      <w:numPr>
        <w:numId w:val="8"/>
      </w:numPr>
    </w:pPr>
  </w:style>
  <w:style w:customStyle="1" w:styleId="WW8Num2" w:type="numbering">
    <w:name w:val="WW8Num2"/>
    <w:basedOn w:val="Bezpopisa"/>
    <w:pPr>
      <w:numPr>
        <w:numId w:val="9"/>
      </w:numPr>
    </w:pPr>
  </w:style>
  <w:style w:customStyle="1" w:styleId="WW8Num3" w:type="numbering">
    <w:name w:val="WW8Num3"/>
    <w:basedOn w:val="Bezpopisa"/>
    <w:pPr>
      <w:numPr>
        <w:numId w:val="10"/>
      </w:numPr>
    </w:pPr>
  </w:style>
  <w:style w:customStyle="1" w:styleId="WW8Num4" w:type="numbering">
    <w:name w:val="WW8Num4"/>
    <w:basedOn w:val="Bezpopisa"/>
    <w:pPr>
      <w:numPr>
        <w:numId w:val="11"/>
      </w:numPr>
    </w:pPr>
  </w:style>
  <w:style w:customStyle="1" w:styleId="WW8Num5" w:type="numbering">
    <w:name w:val="WW8Num5"/>
    <w:basedOn w:val="Bezpopisa"/>
    <w:pPr>
      <w:numPr>
        <w:numId w:val="12"/>
      </w:numPr>
    </w:pPr>
  </w:style>
  <w:style w:customStyle="1" w:styleId="WW8Num6" w:type="numbering">
    <w:name w:val="WW8Num6"/>
    <w:basedOn w:val="Bezpopisa"/>
    <w:pPr>
      <w:numPr>
        <w:numId w:val="13"/>
      </w:numPr>
    </w:pPr>
  </w:style>
  <w:style w:customStyle="1" w:styleId="WW8Num7" w:type="numbering">
    <w:name w:val="WW8Num7"/>
    <w:basedOn w:val="Bezpopisa"/>
    <w:pPr>
      <w:numPr>
        <w:numId w:val="14"/>
      </w:numPr>
    </w:pPr>
  </w:style>
  <w:style w:customStyle="1" w:styleId="WW8Num8" w:type="numbering">
    <w:name w:val="WW8Num8"/>
    <w:basedOn w:val="Bezpopisa"/>
    <w:pPr>
      <w:numPr>
        <w:numId w:val="15"/>
      </w:numPr>
    </w:pPr>
  </w:style>
  <w:style w:customStyle="1" w:styleId="WW8Num9" w:type="numbering">
    <w:name w:val="WW8Num9"/>
    <w:basedOn w:val="Bezpopisa"/>
    <w:pPr>
      <w:numPr>
        <w:numId w:val="16"/>
      </w:numPr>
    </w:pPr>
  </w:style>
  <w:style w:customStyle="1" w:styleId="WW8Num10" w:type="numbering">
    <w:name w:val="WW8Num10"/>
    <w:basedOn w:val="Bezpopisa"/>
    <w:pPr>
      <w:numPr>
        <w:numId w:val="17"/>
      </w:numPr>
    </w:pPr>
  </w:style>
  <w:style w:styleId="Tekstrezerviranogmjesta" w:type="character">
    <w:name w:val="Placeholder Text"/>
    <w:basedOn w:val="Zadanifontodlomka"/>
    <w:uiPriority w:val="99"/>
    <w:semiHidden/>
    <w:rsid w:val="00605160"/>
    <w:rPr>
      <w:color w:val="808080"/>
      <w:bdr w:color="auto" w:space="0" w:sz="0" w:val="none"/>
      <w:shd w:color="auto" w:fill="auto" w:val="clear"/>
    </w:rPr>
  </w:style>
  <w:style w:customStyle="1" w:styleId="eSPISCCParagraphDefaultFont" w:type="character">
    <w:name w:val="eSPIS_CC_Paragraph Default Font"/>
    <w:basedOn w:val="Zadanifontodlomka"/>
    <w:rsid w:val="006051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5160"/>
    <w:rPr>
      <w:b/>
      <w:bdr w:color="auto" w:space="0" w:sz="0" w:val="none"/>
      <w:shd w:color="auto" w:fill="FFFFCC" w:val="clear"/>
      <w:lang w:val="hr-HR"/>
    </w:rPr>
  </w:style>
  <w:style w:customStyle="1" w:styleId="PozadinaSvijetloCrvena" w:type="character">
    <w:name w:val="Pozadina_SvijetloCrvena"/>
    <w:basedOn w:val="eSPISCCParagraphDefaultFont"/>
    <w:rsid w:val="0060516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0516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St-820/2016-17</izvorni_sadrzaj>
    <derivirana_varijabla naziv="DomainObject.Oznaka_1">St-820/2016-17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Prijedlgo za otvaranje st. postupka 22.2.2016.</izvorni_sadrzaj>
    <derivirana_varijabla naziv="DomainObject.Predmet.Opis_1">Prijedlgo za otvaranje st. postupka 22.2.2016.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St-820/2016</izvorni_sadrzaj>
    <derivirana_varijabla naziv="DomainObject.Predmet.OznakaBroj_1">St-820/2016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SOLIS j.d.o.o. za proizvodnju i usluge</izvorni_sadrzaj>
    <derivirana_varijabla naziv="DomainObject.Predmet.ProtustrankaFormated_1">  SOLIS j.d.o.o. za proizvodnju i usluge</derivirana_varijabla>
  </DomainObject.Predmet.ProtustrankaFormated>
  <DomainObject.Predmet.ProtustrankaFormatedOIB>
    <izvorni_sadrzaj>  SOLIS j.d.o.o. za proizvodnju i usluge, OIB 54105212910</izvorni_sadrzaj>
    <derivirana_varijabla naziv="DomainObject.Predmet.ProtustrankaFormatedOIB_1">  SOLIS j.d.o.o. za proizvodnju i usluge, OIB 54105212910</derivirana_varijabla>
  </DomainObject.Predmet.ProtustrankaFormatedOIB>
  <DomainObject.Predmet.ProtustrankaFormatedWithAdress>
    <izvorni_sadrzaj> SOLIS j.d.o.o. za proizvodnju i usluge, Ivana Generalića 3, 48000 Koprivnica</izvorni_sadrzaj>
    <derivirana_varijabla naziv="DomainObject.Predmet.ProtustrankaFormatedWithAdress_1"> SOLIS j.d.o.o. za proizvodnju i usluge, Ivana Generalića 3, 48000 Koprivnica</derivirana_varijabla>
  </DomainObject.Predmet.ProtustrankaFormatedWithAdress>
  <DomainObject.Predmet.ProtustrankaFormatedWithAdressOIB>
    <izvorni_sadrzaj> SOLIS j.d.o.o. za proizvodnju i usluge, OIB 54105212910, Ivana Generalića 3, 48000 Koprivnica</izvorni_sadrzaj>
    <derivirana_varijabla naziv="DomainObject.Predmet.ProtustrankaFormatedWithAdressOIB_1"> SOLIS j.d.o.o. za proizvodnju i usluge, OIB 54105212910, Ivana Generalića 3, 48000 Koprivnica</derivirana_varijabla>
  </DomainObject.Predmet.ProtustrankaFormatedWithAdressOIB>
  <DomainObject.Predmet.ProtustrankaWithAdress>
    <izvorni_sadrzaj>SOLIS j.d.o.o. za proizvodnju i usluge Ivana Generalića 3, 48000 Koprivnica</izvorni_sadrzaj>
    <derivirana_varijabla naziv="DomainObject.Predmet.ProtustrankaWithAdress_1">SOLIS j.d.o.o. za proizvodnju i usluge Ivana Generalića 3, 48000 Koprivnica</derivirana_varijabla>
  </DomainObject.Predmet.ProtustrankaWithAdress>
  <DomainObject.Predmet.ProtustrankaWithAdressOIB>
    <izvorni_sadrzaj>SOLIS j.d.o.o. za proizvodnju i usluge, OIB 54105212910, Ivana Generalića 3, 48000 Koprivnica</izvorni_sadrzaj>
    <derivirana_varijabla naziv="DomainObject.Predmet.ProtustrankaWithAdressOIB_1">SOLIS j.d.o.o. za proizvodnju i usluge, OIB 54105212910, Ivana Generalića 3, 48000 Koprivnica</derivirana_varijabla>
  </DomainObject.Predmet.ProtustrankaWithAdressOIB>
  <DomainObject.Predmet.ProtustrankaNazivFormated>
    <izvorni_sadrzaj>SOLIS j.d.o.o. za proizvodnju i usluge</izvorni_sadrzaj>
    <derivirana_varijabla naziv="DomainObject.Predmet.ProtustrankaNazivFormated_1">SOLIS j.d.o.o. za proizvodnju i usluge</derivirana_varijabla>
  </DomainObject.Predmet.ProtustrankaNazivFormated>
  <DomainObject.Predmet.ProtustrankaNazivFormatedOIB>
    <izvorni_sadrzaj>SOLIS j.d.o.o. za proizvodnju i usluge, OIB 54105212910</izvorni_sadrzaj>
    <derivirana_varijabla naziv="DomainObject.Predmet.ProtustrankaNazivFormatedOIB_1">SOLIS j.d.o.o. za proizvodnju i usluge, OIB 54105212910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 Porezna uprava, Područni ured sjeverna Hrvatska zastupanog po punomoćniku Županijsko državno odvjetništvo u Varaždinu</izvorni_sadrzaj>
    <derivirana_varijabla naziv="DomainObject.Predmet.StrankaFormated_1">  Republika Hrvatska Ministarstvo financija - Porezna uprava, Područni ured sjeverna Hrvatska zastupanog po punomoćniku Županijsko državno odvjetništvo u Varaždinu</derivirana_varijabla>
  </DomainObject.Predmet.StrankaFormated>
  <DomainObject.Predmet.StrankaFormatedOIB>
    <izvorni_sadrzaj>  Republika Hrvatska Ministarstvo financija - Porezna uprava, Područni ured sjeverna Hrvatska, OIB 18683136487 zastupanog po punomoćniku Županijsko državno odvjetništvo u Varaždinu</izvorni_sadrzaj>
    <derivirana_varijabla naziv="DomainObject.Predmet.StrankaFormatedOIB_1">  Republika Hrvatska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Republika Hrvatska Ministarstvo financija - Porezna uprava, Područni ured sjeverna Hrvatska, Graberje 1, 42000 Varaždin zastupanog po punomoćniku Županijsko državno odvjetništvo u Varaždinu</izvorni_sadrzaj>
    <derivirana_varijabla naziv="DomainObject.Predmet.StrankaFormatedWithAdress_1"> Republika Hrvatska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Republika Hrvatska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Republika Hrvatska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Republika Hrvatska Ministarstvo financija - Porezna uprava, Područni ured sjeverna Hrvatska Graberje 1,42000 Varaždin</izvorni_sadrzaj>
    <derivirana_varijabla naziv="DomainObject.Predmet.StrankaWithAdress_1">Republika Hrvatska Ministarstvo financija - Porezna uprava, Područni ured sjeverna Hrvatska Graberje 1,42000 Varaždin</derivirana_varijabla>
  </DomainObject.Predmet.StrankaWithAdress>
  <DomainObject.Predmet.StrankaWithAdressOIB>
    <izvorni_sadrzaj>Republika Hrvatska Ministarstvo financija - Porezna uprava, Područni ured sjeverna Hrvatska, OIB 18683136487, Graberje 1,42000 Varaždin</izvorni_sadrzaj>
    <derivirana_varijabla naziv="DomainObject.Predmet.StrankaWithAdressOIB_1">Republika Hrvatska Ministarstvo financija - Porezna uprava, Područni ured sjeverna Hrvatska, OIB 18683136487, Graberje 1,42000 Varaždin</derivirana_varijabla>
  </DomainObject.Predmet.StrankaWithAdressOIB>
  <DomainObject.Predmet.StrankaNazivFormated>
    <izvorni_sadrzaj>Republika Hrvatska Ministarstvo financija - Porezna uprava, Područni ured sjeverna Hrvatska</izvorni_sadrzaj>
    <derivirana_varijabla naziv="DomainObject.Predmet.StrankaNazivFormated_1">Republika Hrvatska Ministarstvo financija - Porezna uprava, Područni ured sjeverna Hrvatska</derivirana_varijabla>
  </DomainObject.Predmet.StrankaNazivFormated>
  <DomainObject.Predmet.StrankaNazivFormatedOIB>
    <izvorni_sadrzaj>Republika Hrvatska Ministarstvo financija - Porezna uprava, Područni ured sjeverna Hrvatska, OIB 18683136487</izvorni_sadrzaj>
    <derivirana_varijabla naziv="DomainObject.Predmet.StrankaNazivFormatedOIB_1">Republika Hrvatska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11658.11</izvorni_sadrzaj>
    <derivirana_varijabla naziv="DomainObject.Predmet.TrenutnaVrijednost_1">11658.11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Republika Hrvatska Ministarstvo financija - Porezna uprava, Područni ured sjeverna Hrvatska zastupanog po punomoćniku Županijsko državno odvjetništvo u Varaždinu</item>
    </izvorni_sadrzaj>
    <derivirana_varijabla naziv="DomainObject.Predmet.StrankaListFormated_1">
      <item>Republika Hrvatska Ministarstvo financija - Porezna uprava, Područni ured sjeverna Hrvatska zastupanog po punomoćniku Županijsko državno odvjetništvo u Varaždinu</item>
    </derivirana_varijabla>
  </DomainObject.Predmet.StrankaListFormated>
  <DomainObject.Predmet.StrankaListFormatedOIB>
    <izvorni_sadrzaj>
      <item>Republika Hrvatska Ministarstvo financija - Porezna uprava, Područni ured sjeverna Hrvatska, OIB 18683136487 zastupanog po punomoćniku Županijsko državno odvjetništvo u Varaždinu</item>
    </izvorni_sadrzaj>
    <derivirana_varijabla naziv="DomainObject.Predmet.StrankaListFormatedOIB_1">
      <item>Republika Hrvatska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Republika Hrvatska Ministarstvo financija - Porezna uprava, Područni ured sjeverna Hrvatska, Graberje 1, 42000 Varaždin zastupanog po punomoćniku Županijsko državno odvjetništvo u Varaždinu</item>
    </izvorni_sadrzaj>
    <derivirana_varijabla naziv="DomainObject.Predmet.StrankaListFormatedWithAdress_1">
      <item>Republika Hrvatska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Republika Hrvatska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Republika Hrvatska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Republika Hrvatska Ministarstvo financija - Porezna uprava, Područni ured sjeverna Hrvatska</item>
    </izvorni_sadrzaj>
    <derivirana_varijabla naziv="DomainObject.Predmet.StrankaListNazivFormated_1">
      <item>Republika Hrvatska Ministarstvo financija - Porezna uprava, Područni ured sjeverna Hrvatska</item>
    </derivirana_varijabla>
  </DomainObject.Predmet.StrankaListNazivFormated>
  <DomainObject.Predmet.StrankaListNazivFormatedOIB>
    <izvorni_sadrzaj>
      <item>Republika Hrvatska Ministarstvo financija - Porezna uprava, Područni ured sjeverna Hrvatska, OIB 18683136487</item>
    </izvorni_sadrzaj>
    <derivirana_varijabla naziv="DomainObject.Predmet.StrankaListNazivFormatedOIB_1">
      <item>Republika Hrvatska Ministarstvo financija - Porezna uprava, Područni ured sjeverna Hrvatska, OIB 18683136487</item>
    </derivirana_varijabla>
  </DomainObject.Predmet.StrankaListNazivFormatedOIB>
  <DomainObject.Predmet.ProtuStrankaListFormated>
    <izvorni_sadrzaj>
      <item>SOLIS j.d.o.o. za proizvodnju i usluge</item>
    </izvorni_sadrzaj>
    <derivirana_varijabla naziv="DomainObject.Predmet.ProtuStrankaListFormated_1">
      <item>SOLIS j.d.o.o. za proizvodnju i usluge</item>
    </derivirana_varijabla>
  </DomainObject.Predmet.ProtuStrankaListFormated>
  <DomainObject.Predmet.ProtuStrankaListFormatedOIB>
    <izvorni_sadrzaj>
      <item>SOLIS j.d.o.o. za proizvodnju i usluge, OIB 54105212910</item>
    </izvorni_sadrzaj>
    <derivirana_varijabla naziv="DomainObject.Predmet.ProtuStrankaListFormatedOIB_1">
      <item>SOLIS j.d.o.o. za proizvodnju i usluge, OIB 54105212910</item>
    </derivirana_varijabla>
  </DomainObject.Predmet.ProtuStrankaListFormatedOIB>
  <DomainObject.Predmet.ProtuStrankaListFormatedWithAdress>
    <izvorni_sadrzaj>
      <item>SOLIS j.d.o.o. za proizvodnju i usluge, Ivana Generalića 3, 48000 Koprivnica</item>
    </izvorni_sadrzaj>
    <derivirana_varijabla naziv="DomainObject.Predmet.ProtuStrankaListFormatedWithAdress_1">
      <item>SOLIS j.d.o.o. za proizvodnju i usluge, Ivana Generalića 3, 48000 Koprivnica</item>
    </derivirana_varijabla>
  </DomainObject.Predmet.ProtuStrankaListFormatedWithAdress>
  <DomainObject.Predmet.ProtuStrankaListFormatedWithAdressOIB>
    <izvorni_sadrzaj>
      <item>SOLIS j.d.o.o. za proizvodnju i usluge, OIB 54105212910, Ivana Generalića 3, 48000 Koprivnica</item>
    </izvorni_sadrzaj>
    <derivirana_varijabla naziv="DomainObject.Predmet.ProtuStrankaListFormatedWithAdressOIB_1">
      <item>SOLIS j.d.o.o. za proizvodnju i usluge, OIB 54105212910, Ivana Generalića 3, 48000 Koprivnica</item>
    </derivirana_varijabla>
  </DomainObject.Predmet.ProtuStrankaListFormatedWithAdressOIB>
  <DomainObject.Predmet.ProtuStrankaListNazivFormated>
    <izvorni_sadrzaj>
      <item>SOLIS j.d.o.o. za proizvodnju i usluge</item>
    </izvorni_sadrzaj>
    <derivirana_varijabla naziv="DomainObject.Predmet.ProtuStrankaListNazivFormated_1">
      <item>SOLIS j.d.o.o. za proizvodnju i usluge</item>
    </derivirana_varijabla>
  </DomainObject.Predmet.ProtuStrankaListNazivFormated>
  <DomainObject.Predmet.ProtuStrankaListNazivFormatedOIB>
    <izvorni_sadrzaj>
      <item>SOLIS j.d.o.o. za proizvodnju i usluge, OIB 54105212910</item>
    </izvorni_sadrzaj>
    <derivirana_varijabla naziv="DomainObject.Predmet.ProtuStrankaListNazivFormatedOIB_1">
      <item>SOLIS j.d.o.o. za proizvodnju i usluge, OIB 54105212910</item>
    </derivirana_varijabla>
  </DomainObject.Predmet.ProtuStrankaListNazivFormatedOIB>
  <DomainObject.Predmet.OstaliListFormated>
    <izvorni_sadrzaj>
      <item>Županijsko državno odvjetništvo u Varaždinu punomoćnik sudionika u postupku Republika Hrvatska Ministarstvo financija - Porezna uprava, Područni ured sjeverna Hrvatska</item>
      <item>Lazar Matić</item>
    </izvorni_sadrzaj>
    <derivirana_varijabla naziv="DomainObject.Predmet.OstaliListFormated_1">
      <item>Županijsko državno odvjetništvo u Varaždinu punomoćnik sudionika u postupku Republika Hrvatska Ministarstvo financija - Porezna uprava, Područni ured sjeverna Hrvatska</item>
      <item>Lazar Matić</item>
    </derivirana_varijabla>
  </DomainObject.Predmet.OstaliListFormated>
  <DomainObject.Predmet.OstaliListFormatedOIB>
    <izvorni_sadrzaj>
      <item>Županijsko državno odvjetništvo u Varaždinu punomoćnik sudionika u postupku Republika Hrvatska Ministarstvo financija - Porezna uprava, Područni ured sjeverna Hrvatska</item>
      <item>Lazar Matić, OIB 80812622373</item>
    </izvorni_sadrzaj>
    <derivirana_varijabla naziv="DomainObject.Predmet.OstaliListFormatedOIB_1">
      <item>Županijsko državno odvjetništvo u Varaždinu punomoćnik sudionika u postupku Republika Hrvatska Ministarstvo financija - Porezna uprava, Područni ured sjeverna Hrvatska</item>
      <item>Lazar Matić, OIB 80812622373</item>
    </derivirana_varijabla>
  </DomainObject.Predmet.OstaliListFormatedOIB>
  <DomainObject.Predmet.OstaliListFormatedWithAdress>
    <izvorni_sadrzaj>
      <item>Županijsko državno odvjetništvo u Varaždinu punomoćnik sudionika u postupku Republika Hrvatska Ministarstvo financija - Porezna uprava, Područni ured sjeverna Hrvatska</item>
      <item>Lazar Matić, Fočanska 4, 10000 Zagreb</item>
    </izvorni_sadrzaj>
    <derivirana_varijabla naziv="DomainObject.Predmet.OstaliListFormatedWithAdress_1">
      <item>Županijsko državno odvjetništvo u Varaždinu punomoćnik sudionika u postupku Republika Hrvatska Ministarstvo financija - Porezna uprava, Područni ured sjeverna Hrvatska</item>
      <item>Lazar Matić, Fočanska 4, 10000 Zagreb</item>
    </derivirana_varijabla>
  </DomainObject.Predmet.OstaliListFormatedWithAdress>
  <DomainObject.Predmet.OstaliListFormatedWithAdressOIB>
    <izvorni_sadrzaj>
      <item>Županijsko državno odvjetništvo u Varaždinu punomoćnik sudionika u postupku Republika Hrvatska Ministarstvo financija - Porezna uprava, Područni ured sjeverna Hrvatska</item>
      <item>Lazar Matić, OIB 80812622373, Fočanska 4, 10000 Zagreb</item>
    </izvorni_sadrzaj>
    <derivirana_varijabla naziv="DomainObject.Predmet.OstaliListFormatedWithAdressOIB_1">
      <item>Županijsko državno odvjetništvo u Varaždinu punomoćnik sudionika u postupku Republika Hrvatska Ministarstvo financija - Porezna uprava, Područni ured sjeverna Hrvatska</item>
      <item>Lazar Matić, OIB 80812622373, Fočanska 4, 10000 Zagreb</item>
    </derivirana_varijabla>
  </DomainObject.Predmet.OstaliListFormatedWithAdressOIB>
  <DomainObject.Predmet.OstaliListNazivFormated>
    <izvorni_sadrzaj>
      <item>Županijsko državno odvjetništvo u Varaždinu</item>
      <item>Lazar Matić</item>
    </izvorni_sadrzaj>
    <derivirana_varijabla naziv="DomainObject.Predmet.OstaliListNazivFormated_1">
      <item>Županijsko državno odvjetništvo u Varaždinu</item>
      <item>Lazar Matić</item>
    </derivirana_varijabla>
  </DomainObject.Predmet.OstaliListNazivFormated>
  <DomainObject.Predmet.OstaliListNazivFormatedOIB>
    <izvorni_sadrzaj>
      <item>Županijsko državno odvjetništvo u Varaždinu</item>
      <item>Lazar Matić, OIB 80812622373</item>
    </izvorni_sadrzaj>
    <derivirana_varijabla naziv="DomainObject.Predmet.OstaliListNazivFormatedOIB_1">
      <item>Županijsko državno odvjetništvo u Varaždinu</item>
      <item>Lazar Matić, OIB 80812622373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 Porezna uprava, Područni ured sjeverna Hrvatska</izvorni_sadrzaj>
    <derivirana_varijabla naziv="DomainObject.Predmet.StrankaIDrugi_1">Republika Hrvatska Ministarstvo financija - Porezna uprava, Područni ured sjeverna Hrvatska</derivirana_varijabla>
  </DomainObject.Predmet.StrankaIDrugi>
  <DomainObject.Predmet.ProtustrankaIDrugi>
    <izvorni_sadrzaj>SOLIS j.d.o.o. za proizvodnju i usluge</izvorni_sadrzaj>
    <derivirana_varijabla naziv="DomainObject.Predmet.ProtustrankaIDrugi_1">SOLIS j.d.o.o. za proizvodnju i usluge</derivirana_varijabla>
  </DomainObject.Predmet.ProtustrankaIDrugi>
  <DomainObject.Predmet.StrankaIDrugiAdressOIB>
    <izvorni_sadrzaj>Republika Hrvatska Ministarstvo financija - Porezna uprava, Područni ured sjeverna Hrvatska, OIB 18683136487, Graberje 1, 42000 Varaždin</izvorni_sadrzaj>
    <derivirana_varijabla naziv="DomainObject.Predmet.StrankaIDrugiAdressOIB_1">Republika Hrvatska Ministarstvo financija - Porezna uprava, Područni ured sjeverna Hrvatska, OIB 18683136487, Graberje 1, 42000 Varaždin</derivirana_varijabla>
  </DomainObject.Predmet.StrankaIDrugiAdressOIB>
  <DomainObject.Predmet.ProtustrankaIDrugiAdressOIB>
    <izvorni_sadrzaj>SOLIS j.d.o.o. za proizvodnju i usluge, OIB 54105212910, Ivana Generalića 3, 48000 Koprivnica</izvorni_sadrzaj>
    <derivirana_varijabla naziv="DomainObject.Predmet.ProtustrankaIDrugiAdressOIB_1">SOLIS j.d.o.o. za proizvodnju i usluge, OIB 54105212910,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SOLIS j.d.o.o. za proizvodnju i usluge</item>
      <item>Županijsko državno odvjetništvo u Varaždinu</item>
      <item>Republika Hrvatska Ministarstvo financija - Porezna uprava, Područni ured sjeverna Hrvatska</item>
      <item>Lazar Matić</item>
    </izvorni_sadrzaj>
    <derivirana_varijabla naziv="DomainObject.Predmet.SudioniciListNaziv_1">
      <item>SOLIS j.d.o.o. za proizvodnju i usluge</item>
      <item>Županijsko državno odvjetništvo u Varaždinu</item>
      <item>Republika Hrvatska Ministarstvo financija - Porezna uprava, Područni ured sjeverna Hrvatska</item>
      <item>Lazar Matić</item>
    </derivirana_varijabla>
  </DomainObject.Predmet.SudioniciListNaziv>
  <DomainObject.Predmet.SudioniciListAdressOIB>
    <izvorni_sadrzaj>
      <item>SOLIS j.d.o.o. za proizvodnju i usluge, OIB 54105212910, Ivana Generalića 3,48000 Koprivnica</item>
      <item>Županijsko državno odvjetništvo u Varaždinu</item>
      <item>Republika Hrvatska Ministarstvo financija - Porezna uprava, Područni ured sjeverna Hrvatska, OIB 18683136487, Graberje 1,42000 Varaždin</item>
      <item>Lazar Matić, OIB 80812622373, Fočanska 4,10000 Zagreb</item>
    </izvorni_sadrzaj>
    <derivirana_varijabla naziv="DomainObject.Predmet.SudioniciListAdressOIB_1">
      <item>SOLIS j.d.o.o. za proizvodnju i usluge, OIB 54105212910, Ivana Generalića 3,48000 Koprivnica</item>
      <item>Županijsko državno odvjetništvo u Varaždinu</item>
      <item>Republika Hrvatska Ministarstvo financija - Porezna uprava, Područni ured sjeverna Hrvatska, OIB 18683136487, Graberje 1,42000 Varaždin</item>
      <item>Lazar Matić, OIB 80812622373, Fočanska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54105212910</item>
      <item>, OIB null</item>
      <item>, OIB 18683136487</item>
      <item>, OIB 80812622373</item>
    </izvorni_sadrzaj>
    <derivirana_varijabla naziv="DomainObject.Predmet.SudioniciListNazivOIB_1">
      <item>, OIB 54105212910</item>
      <item>, OIB null</item>
      <item>, OIB 18683136487</item>
      <item>, OIB 80812622373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1318</properties:Words>
  <properties:Characters>7564</properties:Characters>
  <properties:Lines>224</properties:Lines>
  <properties:Paragraphs>97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2017-04-13T06:43:00Z</dcterms:created>
  <dc:creator>Nadica</dc:creator>
  <cp:lastModifiedBy>Tatjana Rukelj</cp:lastModifiedBy>
  <cp:lastPrinted>2017-04-12T08:52:00Z</cp:lastPrinted>
  <dcterms:modified xmlns:xsi="http://www.w3.org/2001/XMLSchema-instance" xsi:type="dcterms:W3CDTF">2017-04-13T06:47:00Z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Info 1" pid="2" fmtid="{D5CDD505-2E9C-101B-9397-08002B2CF9AE}">
    <vt:lpwstr/>
  </prop:property>
  <prop:property name="Info 2" pid="3" fmtid="{D5CDD505-2E9C-101B-9397-08002B2CF9AE}">
    <vt:lpwstr/>
  </prop:property>
  <prop:property name="Info 3" pid="4" fmtid="{D5CDD505-2E9C-101B-9397-08002B2CF9AE}">
    <vt:lpwstr/>
  </prop:property>
  <prop:property name="Info 4" pid="5" fmtid="{D5CDD505-2E9C-101B-9397-08002B2CF9AE}">
    <vt:lpwstr/>
  </prop:property>
  <prop:property name="Saved" pid="6" fmtid="{D5CDD505-2E9C-101B-9397-08002B2CF9AE}">
    <vt:bool>true</vt:bool>
  </prop:property>
  <prop:property name="Naslov" pid="7" fmtid="{D5CDD505-2E9C-101B-9397-08002B2CF9AE}">
    <vt:lpwstr>St-820/2016-17 / Podnesak - Izvješće stečajnog upravitelja</vt:lpwstr>
  </prop:property>
  <prop:property name="CC_coloring" pid="8" fmtid="{D5CDD505-2E9C-101B-9397-08002B2CF9AE}">
    <vt:bool>false</vt:bool>
  </prop:property>
  <prop:property name="BrojStranica" pid="9" fmtid="{D5CDD505-2E9C-101B-9397-08002B2CF9AE}">
    <vt:i4>6</vt:i4>
  </prop:property>
</prop:Properties>
</file>