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cf61" w14:paraId="75acf61"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60DF5">
        <w:t>2</w:t>
      </w:r>
      <w:r w:rsidR="00882CBE">
        <w:t>33</w:t>
      </w:r>
      <w:r>
        <w:t>/1</w:t>
      </w:r>
      <w:r w:rsidR="000C3216">
        <w:t>7</w:t>
      </w:r>
      <w:r>
        <w:t>-</w:t>
      </w:r>
      <w:r w:rsidR="003474EC">
        <w:t>2</w:t>
      </w:r>
      <w:r w:rsidR="00882CBE">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B6B7F" w:rsidR="00AB6B7F">
      <w:pPr>
        <w:jc w:val="both"/>
      </w:pPr>
      <w:r>
        <w:tab/>
      </w:r>
      <w:r w:rsidR="00882CBE" w:rsidRPr="00757FE8">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882CBE" w:rsidRPr="00F75F06">
        <w:t>PRIJEVOZ I TRGOVINA DAMPA društvo s ograničenom odgovornošću za građenje, trgovinu i usluge, Sesvete, Ljudevita Posavskog 3/1, MBS 080797815, OIB 58911872416</w:t>
      </w:r>
      <w:r w:rsidR="00AB6B7F" w:rsidRPr="0041082E">
        <w:t xml:space="preserve">, dana </w:t>
      </w:r>
      <w:r w:rsidR="00882CBE">
        <w:t>5</w:t>
      </w:r>
      <w:r w:rsidR="00AB6B7F" w:rsidRPr="00311A16">
        <w:t xml:space="preserve">. </w:t>
      </w:r>
      <w:r w:rsidR="00882CBE">
        <w:t>travnj</w:t>
      </w:r>
      <w:r w:rsidR="003474EC">
        <w:t>a</w:t>
      </w:r>
      <w:r w:rsidR="00AB6B7F" w:rsidRPr="00311A16">
        <w:t xml:space="preserve"> </w:t>
      </w:r>
      <w:r w:rsidR="00AB6B7F" w:rsidRPr="0041082E">
        <w:t>201</w:t>
      </w:r>
      <w:r w:rsidR="00AB6B7F">
        <w:t>8</w:t>
      </w:r>
      <w:r w:rsidR="00AB6B7F" w:rsidRPr="0041082E">
        <w:t>.</w:t>
      </w: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1107A" w:rsidP="00D932C4"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882CBE" w:rsidRPr="00882CBE">
        <w:rPr>
          <w:bCs/>
        </w:rPr>
        <w:t>PRIJEVOZ I TRGOVINA DAMPA društvo s ograničenom odgovornošću za građenje, trgovinu i usluge, Sesvete, Ljudevita Posavskog 3/1, MBS 080797815, OIB 58911872416</w:t>
      </w:r>
      <w:r w:rsidRPr="00557979">
        <w:rPr>
          <w:bCs/>
        </w:rPr>
        <w:t>.</w:t>
      </w:r>
    </w:p>
    <w:p w:rsidRDefault="00A1107A" w:rsidP="00A1107A" w:rsidR="00A1107A">
      <w:pPr>
        <w:ind w:left="1065"/>
        <w:jc w:val="both"/>
        <w:rPr>
          <w:bCs/>
        </w:rPr>
      </w:pPr>
    </w:p>
    <w:p w:rsidRDefault="00A1107A" w:rsidP="00D932C4"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527D15" w:rsidRPr="00527D15">
        <w:rPr>
          <w:bCs/>
        </w:rPr>
        <w:t>Filip Babić, Osijek, Trg Bana J. Jelačića 18, OIB 57093086582</w:t>
      </w:r>
      <w:r w:rsidR="00E72CE1">
        <w:t xml:space="preserve"> </w:t>
      </w:r>
      <w:r>
        <w:t xml:space="preserve">automatskom dodjelom.                            </w:t>
      </w:r>
    </w:p>
    <w:p w:rsidRDefault="00A1107A" w:rsidP="00A1107A" w:rsidR="00A1107A">
      <w:pPr>
        <w:ind w:left="705"/>
        <w:jc w:val="both"/>
      </w:pPr>
    </w:p>
    <w:p w:rsidRDefault="00A1107A" w:rsidP="00D932C4" w:rsidR="00A1107A" w:rsidRPr="00A8678A">
      <w:pPr>
        <w:numPr>
          <w:ilvl w:val="0"/>
          <w:numId w:val="1"/>
        </w:numPr>
        <w:jc w:val="both"/>
      </w:pPr>
      <w:r w:rsidRPr="00692327">
        <w:rPr>
          <w:bCs/>
        </w:rPr>
        <w:t>ZAKLJUČUJE</w:t>
      </w:r>
      <w:r w:rsidRPr="00557979">
        <w:t xml:space="preserve"> se stečajni postupak nad dužnikom: </w:t>
      </w:r>
      <w:r w:rsidR="00882CBE" w:rsidRPr="00882CBE">
        <w:rPr>
          <w:bCs/>
        </w:rPr>
        <w:t>PRIJEVOZ I TRGOVINA DAMPA društvo s ograničenom odgovornošću za građenje, trgovinu i usluge, Sesvete, Ljudevita Posavskog 3/1, MBS 080797815, OIB 58911872416</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D932C4" w:rsidR="00A1107A">
      <w:pPr>
        <w:numPr>
          <w:ilvl w:val="0"/>
          <w:numId w:val="1"/>
        </w:numPr>
        <w:jc w:val="both"/>
      </w:pPr>
      <w:r>
        <w:t xml:space="preserve">Nalaže se bivšem zakonskom zastupniku </w:t>
      </w:r>
      <w:r w:rsidR="00527D15" w:rsidRPr="00527D15">
        <w:t>Jovan Malenčić, Srbija, Ratkovac, Ratkovac 0, OIB 64492471142</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A1107A" w:rsidP="00A1107A" w:rsidR="00A1107A">
      <w:pPr>
        <w:ind w:firstLine="720"/>
        <w:jc w:val="both"/>
      </w:pPr>
    </w:p>
    <w:p w:rsidRDefault="00527D15" w:rsidP="00527D15" w:rsidR="00527D15">
      <w:pPr>
        <w:ind w:firstLine="720"/>
        <w:jc w:val="both"/>
      </w:pPr>
      <w:r>
        <w:t xml:space="preserve">Dana 19.01.2017. zaprimljen je na Trgovačkom sudu u Zagrebu prijedlog FINE Regionalni centar Zagreb, Podružnica Zagreb, klasa: 110-07/17-01/04 Ur. broj 04-06-17-274 od 18.01.2017. godine, za otvaranje stečajnog postupka nad dužnikom </w:t>
      </w:r>
      <w:r w:rsidRPr="00397E36">
        <w:t>PRIJEVOZ I TRGOVINA DAMPA društvo s ograničenom odgovornošću za građenje, trgovinu i usluge, Sesvete, Ljudevita Posavskog 3/1, MBS 080797815, OIB 58911872416</w:t>
      </w:r>
      <w:r>
        <w:t>, temeljem odredbe čl. 110. st. 1. Stečajnog zakona (NN 71/15 i 104/17, dalje: SZ).</w:t>
      </w:r>
    </w:p>
    <w:p w:rsidRDefault="00527D15" w:rsidP="00527D15" w:rsidR="00527D15">
      <w:pPr>
        <w:ind w:firstLine="720"/>
        <w:jc w:val="both"/>
      </w:pPr>
    </w:p>
    <w:p w:rsidRDefault="00527D15" w:rsidP="00527D15" w:rsidR="00527D15">
      <w:pPr>
        <w:ind w:firstLine="720"/>
        <w:jc w:val="both"/>
      </w:pPr>
      <w:r>
        <w:t>U prijedlogu je navela da na dan 17.01.2017. dužnik u Očevidniku redoslijeda osnova za plaćanje ima evidentirane neizvršene osnove za plaćanje u neprekinutom razdoblju od 120 dana, u ukupnom iznosu od 129.991,85 kn, u koji iznos je uračunata kamata i naknada FINE za provedbe ovrhe na novčanim sredstvima dužnika. Navodi da dužnik ima 1 zaposlenog radnika.</w:t>
      </w:r>
    </w:p>
    <w:p w:rsidRDefault="00527D15" w:rsidP="00527D15" w:rsidR="00527D15">
      <w:pPr>
        <w:ind w:firstLine="720"/>
        <w:jc w:val="both"/>
      </w:pPr>
    </w:p>
    <w:p w:rsidRDefault="00527D15" w:rsidP="00DE620B" w:rsidR="00DE620B">
      <w:pPr>
        <w:ind w:firstLine="720"/>
        <w:jc w:val="both"/>
      </w:pPr>
      <w:r>
        <w:t>Dostavlja popis računa i oročenih novčanih sredstava dužnika na dan 17</w:t>
      </w:r>
      <w:r w:rsidRPr="001C7CF7">
        <w:t>.</w:t>
      </w:r>
      <w:r>
        <w:t>01</w:t>
      </w:r>
      <w:r w:rsidRPr="001C7CF7">
        <w:t>.201</w:t>
      </w:r>
      <w:r>
        <w:t>7., te navodi da na temelju čl. 112. st. 5. SZ dužnik na ime predujma za namirenje troškova stečajnog postupka ima zaplijenjena novčana sredstva na dan 17</w:t>
      </w:r>
      <w:r w:rsidRPr="007B5BFB">
        <w:t>.01.2017</w:t>
      </w:r>
      <w:r>
        <w:t>. u iznosu od 5.000,00 kn.</w:t>
      </w:r>
    </w:p>
    <w:p w:rsidRDefault="00F80723" w:rsidP="00F80723" w:rsidR="00F80723">
      <w:pPr>
        <w:ind w:firstLine="720"/>
        <w:jc w:val="both"/>
      </w:pPr>
    </w:p>
    <w:p w:rsidRDefault="00F80723" w:rsidP="00F80723" w:rsidR="00F8072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09386A" w:rsidP="00263420" w:rsidR="00263420">
      <w:pPr>
        <w:jc w:val="both"/>
      </w:pPr>
      <w:r>
        <w:tab/>
      </w:r>
      <w:r w:rsidR="00263420">
        <w:t xml:space="preserve">Sud je </w:t>
      </w:r>
      <w:r w:rsidR="00263420" w:rsidRPr="00176811">
        <w:t xml:space="preserve">utvrdio da je predlagatelj ovlašten za podnošenje predmetnoga prijedloga temeljem odredbe čl. </w:t>
      </w:r>
      <w:r w:rsidR="00263420">
        <w:t>110</w:t>
      </w:r>
      <w:r w:rsidR="00263420" w:rsidRPr="00176811">
        <w:t xml:space="preserve">. st. </w:t>
      </w:r>
      <w:r w:rsidR="00263420">
        <w:t>1</w:t>
      </w:r>
      <w:r w:rsidR="00263420" w:rsidRPr="00176811">
        <w:t>.</w:t>
      </w:r>
      <w:r w:rsidR="00263420">
        <w:t xml:space="preserve"> SZ-a</w:t>
      </w:r>
      <w:r w:rsidR="00263420" w:rsidRPr="00176811">
        <w:t xml:space="preserve">, </w:t>
      </w:r>
      <w:r w:rsidR="00263420">
        <w:t xml:space="preserve">te je </w:t>
      </w:r>
      <w:r w:rsidR="00263420" w:rsidRPr="00670F0C">
        <w:t xml:space="preserve">donio rješenje o pokretanju prethodnog postupka i imenovao privremenog stečajnog </w:t>
      </w:r>
      <w:r w:rsidR="00263420">
        <w:t>upravitelja</w:t>
      </w:r>
      <w:r w:rsidR="00263420" w:rsidRPr="00670F0C">
        <w:t xml:space="preserve"> (čl. 115. st. 1. i 2. SZ-a), odredio mu dužnosti (čl. 119. st. 2. i 3. SZ-a) i zakazao ročište (čl. 123. i čl. 128. st.1. SZ-a).</w:t>
      </w:r>
    </w:p>
    <w:p w:rsidRDefault="00263420" w:rsidP="00263420" w:rsidR="00263420">
      <w:pPr>
        <w:jc w:val="both"/>
        <w:rPr>
          <w:color w:val="000000"/>
        </w:rPr>
      </w:pPr>
    </w:p>
    <w:p w:rsidRDefault="007D49F3" w:rsidP="003E6CE3" w:rsidR="003E6CE3">
      <w:pPr>
        <w:jc w:val="both"/>
      </w:pPr>
      <w:r>
        <w:rPr>
          <w:color w:val="000000"/>
        </w:rPr>
        <w:tab/>
      </w:r>
      <w:r w:rsidR="00263420">
        <w:rPr>
          <w:color w:val="000000"/>
        </w:rPr>
        <w:t xml:space="preserve">U određenom </w:t>
      </w:r>
      <w:r w:rsidR="00527D15">
        <w:rPr>
          <w:color w:val="000000"/>
        </w:rPr>
        <w:t>mu</w:t>
      </w:r>
      <w:r w:rsidR="00263420">
        <w:rPr>
          <w:color w:val="000000"/>
        </w:rPr>
        <w:t xml:space="preserve"> roku privremen</w:t>
      </w:r>
      <w:r w:rsidR="00527D15">
        <w:rPr>
          <w:color w:val="000000"/>
        </w:rPr>
        <w:t>i</w:t>
      </w:r>
      <w:r w:rsidR="00263420">
        <w:rPr>
          <w:color w:val="000000"/>
        </w:rPr>
        <w:t xml:space="preserve"> stečajn</w:t>
      </w:r>
      <w:r w:rsidR="00527D15">
        <w:rPr>
          <w:color w:val="000000"/>
        </w:rPr>
        <w:t>i</w:t>
      </w:r>
      <w:r w:rsidR="00263420">
        <w:rPr>
          <w:color w:val="000000"/>
        </w:rPr>
        <w:t xml:space="preserve"> upravitelj dostavi</w:t>
      </w:r>
      <w:r w:rsidR="00527D15">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3E6CE3">
        <w:t>je odmah nakon preuzimanja dužnosti od direktora Dužnika Jovana Malenčića, Srbija, Ratkovac, Ratkov</w:t>
      </w:r>
      <w:r>
        <w:t xml:space="preserve">ac bb, OIB 64492471142 pismeno </w:t>
      </w:r>
      <w:r w:rsidR="003E6CE3">
        <w:t>zatražio poslovno-financijsku dokumentaciju relevantnu za daljnji rad.</w:t>
      </w:r>
    </w:p>
    <w:p w:rsidRDefault="003E6CE3" w:rsidP="003E6CE3" w:rsidR="003E6CE3">
      <w:pPr>
        <w:jc w:val="both"/>
      </w:pPr>
    </w:p>
    <w:p w:rsidRDefault="003E6CE3" w:rsidP="003E6CE3" w:rsidR="003E6CE3">
      <w:pPr>
        <w:jc w:val="both"/>
      </w:pPr>
      <w:r>
        <w:tab/>
        <w:t>Zahtjev za poslovno-financijsku dokumentaciju poslao je i na adresu tvrtke Sesvete, Ljudevita Posavskog 3/1. Pošta nije primljena, vraćena je. Više puta je pokušao stupiti u kontakt sa zakonskim zastupnikom tvrtke Jovanom Malenčićem, ali nije uspio. Stupio je u kontakt s knjigovodstvenim servisom kojega je dužnik naveo, ali osoba s kojom je razgovarao rekla je da oni nisu vodili knjige za navedenog dužnika i da joj ta tvrtka nije poznata.</w:t>
      </w:r>
    </w:p>
    <w:p w:rsidRDefault="003E6CE3" w:rsidP="003E6CE3" w:rsidR="003E6CE3">
      <w:pPr>
        <w:jc w:val="both"/>
      </w:pPr>
    </w:p>
    <w:p w:rsidRDefault="003E6CE3" w:rsidP="003E6CE3" w:rsidR="003E6CE3">
      <w:pPr>
        <w:jc w:val="both"/>
      </w:pPr>
      <w:r>
        <w:tab/>
        <w:t>Privremeni stečajni upravitelj uspio je doći do djelomične dokumentacije, bilance stanja i računa dobiti i gubitka za 2014. i 2015. godinu, potvrde FINE o stanju računa, Očevidnika FINE, potvrde Porezne uprave o stanju duga, potvrde Općinskog suda u Zagrebu, Stalna služba Sesvete o stanju nekretnina, potvrdu Policijske postaje Sesvete o stanju vozila, te do podataka s javnog portala ''poslovna hr''.</w:t>
      </w:r>
    </w:p>
    <w:p w:rsidRDefault="003E6CE3" w:rsidP="003E6CE3" w:rsidR="003E6CE3">
      <w:pPr>
        <w:jc w:val="both"/>
      </w:pPr>
    </w:p>
    <w:p w:rsidRDefault="003E6CE3" w:rsidP="003E6CE3" w:rsidR="003E6CE3">
      <w:pPr>
        <w:jc w:val="both"/>
      </w:pPr>
      <w:r>
        <w:lastRenderedPageBreak/>
        <w:tab/>
        <w:t>Djelatnost društva: 6920 računovodstvene, knjigovodstvene i revizorske djelatnosti, porezno savjetovanje.</w:t>
      </w:r>
    </w:p>
    <w:p w:rsidRDefault="003E6CE3" w:rsidP="003E6CE3" w:rsidR="003E6CE3">
      <w:pPr>
        <w:jc w:val="both"/>
      </w:pPr>
    </w:p>
    <w:p w:rsidRDefault="003E6CE3" w:rsidP="003E6CE3" w:rsidR="003E6CE3">
      <w:pPr>
        <w:jc w:val="both"/>
      </w:pPr>
      <w:r>
        <w:tab/>
        <w:t>Dužnik je zadnja financijska izvješća dostavio Poreznoj upravi i FINI za 2015. godinu.</w:t>
      </w:r>
    </w:p>
    <w:p w:rsidRDefault="003E6CE3" w:rsidP="003E6CE3" w:rsidR="003E6CE3">
      <w:pPr>
        <w:jc w:val="both"/>
      </w:pPr>
      <w:r>
        <w:t xml:space="preserve"> </w:t>
      </w:r>
    </w:p>
    <w:p w:rsidRDefault="003E6CE3" w:rsidP="003E6CE3" w:rsidR="003E6CE3">
      <w:pPr>
        <w:jc w:val="both"/>
      </w:pPr>
      <w:r>
        <w:tab/>
        <w:t>Predlagatelj FINA RC Zagreb podnijela je 19.01.2017. godine prijedlog Trgovačkom sudu u Zagrebu za otvaranje stečajnog postupka nad dužnikom. U prijedlogu je navela da  dužnik na dan 17.01.2017. godine u očevidniku redoslijeda osnova za plaćanje ima evidentirane neizvršene osnove za plaćanje u iznosu 129.991,85 kn u neprekidnom razdoblju od 120 dana u koji je iznos uračunata kamata i naknada FINE za provedbu ovrhe na novčanim sredstvima dužnika, nadalje navodi da dužnik ima jednog zaposlenog radnika.</w:t>
      </w:r>
    </w:p>
    <w:p w:rsidRDefault="003E6CE3" w:rsidP="003E6CE3" w:rsidR="003E6CE3">
      <w:pPr>
        <w:jc w:val="both"/>
      </w:pPr>
    </w:p>
    <w:p w:rsidRDefault="003E6CE3" w:rsidP="003E6CE3" w:rsidR="003E6CE3">
      <w:pPr>
        <w:jc w:val="both"/>
      </w:pPr>
      <w:r>
        <w:tab/>
        <w:t xml:space="preserve">Privremeni stečajni upravitelj navodi da je žiro račun dužnika ranije zatvoren, a stanje blokade na dan 25.01.2018. godine iznosi 140.950,66 kn, a broj dana neprekidne blokade je 492. Postoji stečajni razlog iz članka 6. stav 2. Stečajnog zakona, nesposobnost za plaćanje. </w:t>
      </w:r>
    </w:p>
    <w:p w:rsidRDefault="003E6CE3" w:rsidP="003E6CE3" w:rsidR="003E6CE3">
      <w:pPr>
        <w:jc w:val="both"/>
      </w:pPr>
    </w:p>
    <w:p w:rsidRDefault="003E6CE3" w:rsidP="003E6CE3" w:rsidR="003E6CE3">
      <w:pPr>
        <w:jc w:val="both"/>
      </w:pPr>
      <w:r>
        <w:tab/>
        <w:t>Dužnik u poslovnim knjigama na dan 31.12.2015. godine ima iskazane podatke o dugotrajnoj imovini u iznosu 31.805,00 kn. Riječ je o nematerijalnoj imovini (software) u vrijednosti 4.812,00 kn, postrojenju i opremi u iznosu 4.326,00 kn te alatima u iznosu 22.667,00 kn.</w:t>
      </w:r>
    </w:p>
    <w:p w:rsidRDefault="003E6CE3" w:rsidP="003E6CE3" w:rsidR="003E6CE3">
      <w:pPr>
        <w:jc w:val="both"/>
      </w:pPr>
      <w:r>
        <w:t xml:space="preserve"> </w:t>
      </w:r>
    </w:p>
    <w:p w:rsidRDefault="003E6CE3" w:rsidP="003E6CE3" w:rsidR="003E6CE3">
      <w:pPr>
        <w:jc w:val="both"/>
      </w:pPr>
      <w:r>
        <w:tab/>
        <w:t xml:space="preserve">Dužnik na dan 31.12.2015. godine ima iskazanu kratkotrajnu imovinu u iznosu 46.427.030,00 kn, koja se odnosi na zalihe u iznosu 3.410.259,00 kn, potraživanja u iznosu 42.999.247,00 kn i novac na računu u iznosu 17.524,00 kn. </w:t>
      </w:r>
    </w:p>
    <w:p w:rsidRDefault="003E6CE3" w:rsidP="003E6CE3" w:rsidR="003E6CE3">
      <w:pPr>
        <w:jc w:val="both"/>
      </w:pPr>
    </w:p>
    <w:p w:rsidRDefault="003E6CE3" w:rsidP="003E6CE3" w:rsidR="003E6CE3">
      <w:pPr>
        <w:jc w:val="both"/>
      </w:pPr>
      <w:r>
        <w:tab/>
        <w:t>Dužnik na dan 31.12.2015. godine ima iskazane dugoročne obveze u poslovnim knjigama u iznosu  28.284.778,00 kn.</w:t>
      </w:r>
    </w:p>
    <w:p w:rsidRDefault="003E6CE3" w:rsidP="003E6CE3" w:rsidR="003E6CE3">
      <w:pPr>
        <w:jc w:val="both"/>
      </w:pPr>
    </w:p>
    <w:p w:rsidRDefault="003E6CE3" w:rsidP="003E6CE3" w:rsidR="003E6CE3">
      <w:pPr>
        <w:jc w:val="both"/>
      </w:pPr>
      <w:r>
        <w:tab/>
        <w:t xml:space="preserve">Dužnik na dan 31.12.2015. godine ima iskazane kratkoročne obveze u iznosu 16.985.818,00 kn, a odnose se na: </w:t>
      </w:r>
    </w:p>
    <w:p w:rsidRDefault="003E6CE3" w:rsidP="003E6CE3" w:rsidR="003E6CE3">
      <w:pPr>
        <w:jc w:val="both"/>
      </w:pPr>
    </w:p>
    <w:p w:rsidRDefault="003E6CE3" w:rsidP="00D932C4" w:rsidR="003E6CE3" w:rsidRPr="001B093F">
      <w:pPr>
        <w:pStyle w:val="Odlomakpopisa"/>
        <w:numPr>
          <w:ilvl w:val="0"/>
          <w:numId w:val="3"/>
        </w:numPr>
        <w:contextualSpacing/>
        <w:jc w:val="both"/>
      </w:pPr>
      <w:r w:rsidRPr="001B093F">
        <w:t>obveze prema dobavljačima                                2.303.472,00 kn</w:t>
      </w:r>
    </w:p>
    <w:p w:rsidRDefault="003E6CE3" w:rsidP="00D932C4" w:rsidR="003E6CE3" w:rsidRPr="001B093F">
      <w:pPr>
        <w:pStyle w:val="Odlomakpopisa"/>
        <w:numPr>
          <w:ilvl w:val="0"/>
          <w:numId w:val="3"/>
        </w:numPr>
        <w:contextualSpacing/>
        <w:jc w:val="both"/>
      </w:pPr>
      <w:r w:rsidRPr="001B093F">
        <w:t>obveze za pozajmice                                               286.702,00 kn</w:t>
      </w:r>
    </w:p>
    <w:p w:rsidRDefault="003E6CE3" w:rsidP="00D932C4" w:rsidR="003E6CE3" w:rsidRPr="001B093F">
      <w:pPr>
        <w:pStyle w:val="Odlomakpopisa"/>
        <w:numPr>
          <w:ilvl w:val="0"/>
          <w:numId w:val="3"/>
        </w:numPr>
        <w:contextualSpacing/>
        <w:jc w:val="both"/>
      </w:pPr>
      <w:r w:rsidRPr="001B093F">
        <w:t>obveze za poreze i doprinose                             14.287.162,00 kn</w:t>
      </w:r>
    </w:p>
    <w:p w:rsidRDefault="003E6CE3" w:rsidP="00D932C4" w:rsidR="003E6CE3" w:rsidRPr="001B093F">
      <w:pPr>
        <w:pStyle w:val="Odlomakpopisa"/>
        <w:numPr>
          <w:ilvl w:val="0"/>
          <w:numId w:val="3"/>
        </w:numPr>
        <w:contextualSpacing/>
        <w:jc w:val="both"/>
      </w:pPr>
      <w:r w:rsidRPr="001B093F">
        <w:t>ostale obveze                                                             98.458,00 kn</w:t>
      </w:r>
    </w:p>
    <w:p w:rsidRDefault="003E6CE3" w:rsidP="003E6CE3" w:rsidR="003E6CE3"/>
    <w:tbl>
      <w:tblPr>
        <w:tblW w:type="auto" w:w="0"/>
        <w:tblInd w:type="dxa" w:w="108"/>
        <w:tblLayout w:type="fixed"/>
        <w:tblLook w:val="04A0" w:noVBand="1" w:noHBand="0" w:lastColumn="0" w:firstColumn="1" w:lastRow="0" w:firstRow="1"/>
      </w:tblPr>
      <w:tblGrid>
        <w:gridCol w:w="4900"/>
        <w:gridCol w:w="960"/>
        <w:gridCol w:w="970"/>
      </w:tblGrid>
      <w:tr w:rsidTr="005D65DE" w:rsidR="003E6CE3">
        <w:trPr>
          <w:trHeight w:val="225"/>
        </w:trPr>
        <w:tc>
          <w:tcPr>
            <w:tcW w:type="dxa" w:w="4900"/>
            <w:tcBorders>
              <w:top w:space="0" w:sz="4" w:color="000000" w:val="single"/>
              <w:left w:space="0" w:sz="4" w:color="000000" w:val="single"/>
              <w:bottom w:space="0" w:sz="4" w:color="000000" w:val="single"/>
              <w:right w:val="nil"/>
            </w:tcBorders>
            <w:shd w:fill="auto" w:color="auto" w:val="clear"/>
            <w:vAlign w:val="center"/>
            <w:hideMark/>
          </w:tcPr>
          <w:p w:rsidRDefault="003E6CE3" w:rsidP="005D65DE" w:rsidR="003E6CE3" w:rsidRPr="001B093F">
            <w:pPr>
              <w:snapToGrid w:val="false"/>
              <w:rPr>
                <w:rFonts w:cs="Calibri" w:hAnsi="Calibri" w:ascii="Calibri"/>
                <w:bCs/>
                <w:color w:val="000000"/>
                <w:kern w:val="2"/>
                <w:sz w:val="16"/>
                <w:szCs w:val="16"/>
                <w:lang w:eastAsia="ar-SA"/>
              </w:rPr>
            </w:pPr>
            <w:r w:rsidRPr="001B093F">
              <w:rPr>
                <w:rFonts w:cs="Calibri" w:hAnsi="Calibri" w:ascii="Calibri"/>
                <w:bCs/>
                <w:color w:val="000000"/>
                <w:sz w:val="16"/>
                <w:szCs w:val="16"/>
                <w:lang w:eastAsia="ar-SA"/>
              </w:rPr>
              <w:t>AKTIVA</w:t>
            </w:r>
          </w:p>
        </w:tc>
        <w:tc>
          <w:tcPr>
            <w:tcW w:type="dxa" w:w="960"/>
            <w:tcBorders>
              <w:top w:space="0" w:sz="4" w:color="000000" w:val="single"/>
              <w:left w:space="0" w:sz="4" w:color="000000" w:val="single"/>
              <w:bottom w:space="0" w:sz="4" w:color="000000" w:val="single"/>
              <w:right w:val="nil"/>
            </w:tcBorders>
            <w:shd w:fill="auto" w:color="auto" w:val="clear"/>
            <w:vAlign w:val="center"/>
            <w:hideMark/>
          </w:tcPr>
          <w:p w:rsidRDefault="003E6CE3" w:rsidP="005D65DE" w:rsidR="003E6CE3" w:rsidRPr="001B093F">
            <w:pPr>
              <w:snapToGrid w:val="false"/>
              <w:jc w:val="center"/>
              <w:rPr>
                <w:rFonts w:cs="Calibri" w:hAnsi="Calibri" w:ascii="Calibri"/>
                <w:bCs/>
                <w:color w:val="000000"/>
                <w:kern w:val="2"/>
                <w:sz w:val="16"/>
                <w:szCs w:val="16"/>
                <w:lang w:eastAsia="ar-SA"/>
              </w:rPr>
            </w:pPr>
            <w:r w:rsidRPr="001B093F">
              <w:rPr>
                <w:rFonts w:cs="Calibri" w:hAnsi="Calibri" w:ascii="Calibri"/>
                <w:bCs/>
                <w:color w:val="000000"/>
                <w:sz w:val="16"/>
                <w:szCs w:val="16"/>
                <w:lang w:eastAsia="ar-SA"/>
              </w:rPr>
              <w:t>2014</w:t>
            </w:r>
          </w:p>
        </w:tc>
        <w:tc>
          <w:tcPr>
            <w:tcW w:type="dxa" w:w="97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3E6CE3" w:rsidP="005D65DE" w:rsidR="003E6CE3" w:rsidRPr="001B093F">
            <w:pPr>
              <w:snapToGrid w:val="false"/>
              <w:jc w:val="center"/>
              <w:rPr>
                <w:rFonts w:cs="Calibri" w:hAnsi="Calibri" w:ascii="Calibri"/>
                <w:bCs/>
                <w:color w:val="000000"/>
                <w:kern w:val="2"/>
                <w:sz w:val="16"/>
                <w:szCs w:val="16"/>
                <w:lang w:eastAsia="ar-SA"/>
              </w:rPr>
            </w:pPr>
            <w:r w:rsidRPr="001B093F">
              <w:rPr>
                <w:rFonts w:cs="Calibri" w:hAnsi="Calibri" w:ascii="Calibri"/>
                <w:bCs/>
                <w:color w:val="000000"/>
                <w:sz w:val="16"/>
                <w:szCs w:val="16"/>
                <w:lang w:eastAsia="ar-SA"/>
              </w:rPr>
              <w:t>2015</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A) POTRAŽIVANJA ZA UPISANI A NEUPLAĆENI KAPITAL</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B) DUGOTRAJNA IMOVINA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6.416</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31.805</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 NEMATERIJALNA IMOVINA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6.416</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4.812</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 MATERIJALNA IMOVINA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26.993</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III. DUGOTRAJNA FINANCIJSKA IMOVINA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IV. POTRAŽIVANJA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 ODGOĐENA POREZNA IMOVINA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C) KRATKOTRAJNA IMOVINA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1.365.896</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46.427.030</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 ZALIHE</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798.755</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3.410.259</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 POTRAŽIVANJA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563.732</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42.999.247</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III. KRATKOTRAJNA FINANCIJSKA IMOVINA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IV. NOVAC U BANCI I BLAGAJNI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3.409</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17.524</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D) PLAĆENI TROŠKOVI BUDUĆEG RAZDOBLJA I OBRAČUNATI PRIHODI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E) UKUPNO AKTIVA</w:t>
            </w:r>
          </w:p>
        </w:tc>
        <w:tc>
          <w:tcPr>
            <w:tcW w:type="dxa" w:w="96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jc w:val="right"/>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1.372.312</w:t>
            </w:r>
          </w:p>
        </w:tc>
        <w:tc>
          <w:tcPr>
            <w:tcW w:type="dxa" w:w="970"/>
            <w:tcBorders>
              <w:top w:val="nil"/>
              <w:left w:space="0" w:sz="4" w:color="000000" w:val="single"/>
              <w:bottom w:space="0" w:sz="4" w:color="000000" w:val="single"/>
              <w:right w:space="0" w:sz="4" w:color="000000" w:val="single"/>
            </w:tcBorders>
            <w:shd w:fill="auto" w:color="auto" w:val="clear"/>
            <w:vAlign w:val="center"/>
            <w:hideMark/>
          </w:tcPr>
          <w:p w:rsidRDefault="003E6CE3" w:rsidP="005D65DE" w:rsidR="003E6CE3" w:rsidRPr="00780968">
            <w:pPr>
              <w:snapToGrid w:val="false"/>
              <w:jc w:val="right"/>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46.458.835</w:t>
            </w:r>
          </w:p>
        </w:tc>
      </w:tr>
    </w:tbl>
    <w:p w:rsidRDefault="003E6CE3" w:rsidP="003E6CE3" w:rsidR="003E6CE3"/>
    <w:p w:rsidRDefault="003E6CE3" w:rsidP="003E6CE3" w:rsidR="003E6CE3"/>
    <w:p w:rsidRDefault="003E6CE3" w:rsidP="003E6CE3" w:rsidR="003E6CE3"/>
    <w:tbl>
      <w:tblPr>
        <w:tblW w:type="auto" w:w="0"/>
        <w:tblInd w:type="dxa" w:w="108"/>
        <w:tblLayout w:type="fixed"/>
        <w:tblLook w:val="04A0" w:noVBand="1" w:noHBand="0" w:lastColumn="0" w:firstColumn="1" w:lastRow="0" w:firstRow="1"/>
      </w:tblPr>
      <w:tblGrid>
        <w:gridCol w:w="4900"/>
        <w:gridCol w:w="960"/>
        <w:gridCol w:w="970"/>
      </w:tblGrid>
      <w:tr w:rsidTr="005D65DE" w:rsidR="003E6CE3">
        <w:trPr>
          <w:trHeight w:val="225"/>
        </w:trPr>
        <w:tc>
          <w:tcPr>
            <w:tcW w:type="dxa" w:w="4900"/>
            <w:tcBorders>
              <w:top w:space="0" w:sz="4" w:color="000000" w:val="single"/>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PASIVA</w:t>
            </w:r>
          </w:p>
        </w:tc>
        <w:tc>
          <w:tcPr>
            <w:tcW w:type="dxa" w:w="960"/>
            <w:tcBorders>
              <w:top w:space="0" w:sz="4" w:color="000000" w:val="single"/>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jc w:val="center"/>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2014</w:t>
            </w:r>
          </w:p>
        </w:tc>
        <w:tc>
          <w:tcPr>
            <w:tcW w:type="dxa" w:w="97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3E6CE3" w:rsidP="005D65DE" w:rsidR="003E6CE3" w:rsidRPr="00780968">
            <w:pPr>
              <w:snapToGrid w:val="false"/>
              <w:jc w:val="center"/>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2015</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A) KAPITAL I REZERVE</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39.791</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801.849</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 TEMELJNI (UPISANI) KAPITAL</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20.000</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20.000</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 KAPITALNE REZERVE</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III. REZERVE IZ DOBITI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6.038</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IV. REVALORIZACIJSKE REZERVE</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 ZADRŽANA DOBIT ILI PRENESENI GUBITAK</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13.754</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13.754</w:t>
            </w:r>
          </w:p>
        </w:tc>
      </w:tr>
      <w:tr w:rsidTr="005D65DE" w:rsidR="003E6CE3">
        <w:trPr>
          <w:trHeight w:val="225"/>
        </w:trPr>
        <w:tc>
          <w:tcPr>
            <w:tcW w:type="dxa" w:w="4900"/>
            <w:tcBorders>
              <w:top w:val="nil"/>
              <w:left w:space="0" w:sz="4" w:color="000000" w:val="single"/>
              <w:bottom w:space="0" w:sz="4" w:color="auto"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VI DOBIT ILI GUBITAK POSLOVNE GODINE</w:t>
            </w:r>
          </w:p>
        </w:tc>
        <w:tc>
          <w:tcPr>
            <w:tcW w:type="dxa" w:w="960"/>
            <w:tcBorders>
              <w:top w:val="nil"/>
              <w:left w:space="0" w:sz="4" w:color="000000" w:val="single"/>
              <w:bottom w:space="0" w:sz="4" w:color="auto"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6.037</w:t>
            </w:r>
          </w:p>
        </w:tc>
        <w:tc>
          <w:tcPr>
            <w:tcW w:type="dxa" w:w="970"/>
            <w:tcBorders>
              <w:top w:val="nil"/>
              <w:left w:space="0" w:sz="4" w:color="000000" w:val="single"/>
              <w:bottom w:space="0" w:sz="4" w:color="auto"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762.057</w:t>
            </w:r>
          </w:p>
        </w:tc>
      </w:tr>
      <w:tr w:rsidTr="005D65DE" w:rsidR="003E6CE3">
        <w:trPr>
          <w:trHeight w:val="225"/>
        </w:trPr>
        <w:tc>
          <w:tcPr>
            <w:tcW w:type="dxa" w:w="4900"/>
            <w:tcBorders>
              <w:top w:space="0" w:sz="4" w:color="auto" w:val="single"/>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VII MANJINSKI INTERES</w:t>
            </w:r>
          </w:p>
        </w:tc>
        <w:tc>
          <w:tcPr>
            <w:tcW w:type="dxa" w:w="960"/>
            <w:tcBorders>
              <w:top w:space="0" w:sz="4" w:color="auto" w:val="single"/>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space="0" w:sz="4" w:color="auto" w:val="single"/>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B) REZERVIRANJA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386.390</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C) DUGOROČNE OBVEZE</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1.332.521</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28.284.778</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D) KRATKOROČNE OBVEZE</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16.985.818</w:t>
            </w:r>
          </w:p>
        </w:tc>
      </w:tr>
      <w:tr w:rsidTr="005D65DE" w:rsidR="003E6CE3">
        <w:trPr>
          <w:trHeight w:val="225"/>
        </w:trPr>
        <w:tc>
          <w:tcPr>
            <w:tcW w:type="dxa" w:w="49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color w:val="000000"/>
                <w:kern w:val="2"/>
                <w:sz w:val="16"/>
                <w:szCs w:val="16"/>
                <w:lang w:eastAsia="ar-SA"/>
              </w:rPr>
            </w:pPr>
            <w:r>
              <w:rPr>
                <w:rFonts w:cs="Calibri" w:hAnsi="Calibri" w:ascii="Calibri"/>
                <w:color w:val="000000"/>
                <w:sz w:val="16"/>
                <w:szCs w:val="16"/>
                <w:lang w:eastAsia="ar-SA"/>
              </w:rPr>
              <w:t>E) ODGOĐENO PLAĆANJE TROŠKOVA I PRIHOD BUDUĆEGA RAZDOBLJA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color w:val="000000"/>
                <w:kern w:val="2"/>
                <w:sz w:val="16"/>
                <w:szCs w:val="16"/>
                <w:lang w:eastAsia="ar-SA"/>
              </w:rPr>
            </w:pPr>
            <w:r>
              <w:rPr>
                <w:rFonts w:cs="Calibri" w:hAnsi="Calibri" w:ascii="Calibri"/>
                <w:color w:val="000000"/>
                <w:sz w:val="16"/>
                <w:szCs w:val="16"/>
                <w:lang w:eastAsia="ar-SA"/>
              </w:rPr>
              <w:t>-</w:t>
            </w:r>
          </w:p>
        </w:tc>
      </w:tr>
      <w:tr w:rsidTr="005D65DE" w:rsidR="003E6CE3">
        <w:trPr>
          <w:trHeight w:val="225"/>
        </w:trPr>
        <w:tc>
          <w:tcPr>
            <w:tcW w:type="dxa" w:w="490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F) UKUPNO – PASIVA</w:t>
            </w:r>
          </w:p>
        </w:tc>
        <w:tc>
          <w:tcPr>
            <w:tcW w:type="dxa" w:w="96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jc w:val="right"/>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1.372.312</w:t>
            </w:r>
          </w:p>
        </w:tc>
        <w:tc>
          <w:tcPr>
            <w:tcW w:type="dxa" w:w="970"/>
            <w:tcBorders>
              <w:top w:val="nil"/>
              <w:left w:space="0" w:sz="4" w:color="000000" w:val="single"/>
              <w:bottom w:space="0" w:sz="4" w:color="000000" w:val="single"/>
              <w:right w:space="0" w:sz="4" w:color="000000" w:val="single"/>
            </w:tcBorders>
            <w:shd w:fill="auto" w:color="auto" w:val="clear"/>
            <w:vAlign w:val="center"/>
            <w:hideMark/>
          </w:tcPr>
          <w:p w:rsidRDefault="003E6CE3" w:rsidP="005D65DE" w:rsidR="003E6CE3" w:rsidRPr="00780968">
            <w:pPr>
              <w:snapToGrid w:val="false"/>
              <w:jc w:val="right"/>
              <w:rPr>
                <w:rFonts w:cs="Calibri" w:hAnsi="Calibri" w:ascii="Calibri"/>
                <w:bCs/>
                <w:color w:val="000000"/>
                <w:kern w:val="2"/>
                <w:sz w:val="16"/>
                <w:szCs w:val="16"/>
                <w:lang w:eastAsia="ar-SA"/>
              </w:rPr>
            </w:pPr>
            <w:r w:rsidRPr="00780968">
              <w:rPr>
                <w:rFonts w:cs="Calibri" w:hAnsi="Calibri" w:ascii="Calibri"/>
                <w:bCs/>
                <w:color w:val="000000"/>
                <w:sz w:val="16"/>
                <w:szCs w:val="16"/>
                <w:lang w:eastAsia="ar-SA"/>
              </w:rPr>
              <w:t>46.458.835</w:t>
            </w:r>
          </w:p>
        </w:tc>
      </w:tr>
    </w:tbl>
    <w:p w:rsidRDefault="003E6CE3" w:rsidP="003E6CE3" w:rsidR="003E6CE3"/>
    <w:tbl>
      <w:tblPr>
        <w:tblW w:type="auto" w:w="0"/>
        <w:tblInd w:type="dxa" w:w="108"/>
        <w:tblLayout w:type="fixed"/>
        <w:tblLook w:val="04A0" w:noVBand="1" w:noHBand="0" w:lastColumn="0" w:firstColumn="1" w:lastRow="0" w:firstRow="1"/>
      </w:tblPr>
      <w:tblGrid>
        <w:gridCol w:w="3700"/>
        <w:gridCol w:w="960"/>
        <w:gridCol w:w="970"/>
      </w:tblGrid>
      <w:tr w:rsidTr="005D65DE" w:rsidR="003E6CE3">
        <w:trPr>
          <w:trHeight w:val="225"/>
        </w:trPr>
        <w:tc>
          <w:tcPr>
            <w:tcW w:type="dxa" w:w="3700"/>
            <w:tcBorders>
              <w:top w:space="0" w:sz="4" w:color="000000" w:val="single"/>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rPr>
                <w:rFonts w:cs="Calibri" w:hAnsi="Calibri" w:ascii="Calibri"/>
                <w:bCs/>
                <w:kern w:val="2"/>
                <w:sz w:val="16"/>
                <w:szCs w:val="16"/>
                <w:lang w:eastAsia="ar-SA"/>
              </w:rPr>
            </w:pPr>
            <w:r w:rsidRPr="00780968">
              <w:rPr>
                <w:rFonts w:cs="Calibri" w:hAnsi="Calibri" w:ascii="Calibri"/>
                <w:bCs/>
                <w:sz w:val="16"/>
                <w:szCs w:val="16"/>
                <w:lang w:eastAsia="ar-SA"/>
              </w:rPr>
              <w:t>Naziv pozicije</w:t>
            </w:r>
          </w:p>
        </w:tc>
        <w:tc>
          <w:tcPr>
            <w:tcW w:type="dxa" w:w="960"/>
            <w:tcBorders>
              <w:top w:space="0" w:sz="4" w:color="000000" w:val="single"/>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jc w:val="center"/>
              <w:rPr>
                <w:rFonts w:cs="Calibri" w:hAnsi="Calibri" w:ascii="Calibri"/>
                <w:bCs/>
                <w:kern w:val="2"/>
                <w:sz w:val="16"/>
                <w:szCs w:val="16"/>
                <w:lang w:eastAsia="ar-SA"/>
              </w:rPr>
            </w:pPr>
            <w:r w:rsidRPr="00780968">
              <w:rPr>
                <w:rFonts w:cs="Calibri" w:hAnsi="Calibri" w:ascii="Calibri"/>
                <w:bCs/>
                <w:sz w:val="16"/>
                <w:szCs w:val="16"/>
                <w:lang w:eastAsia="ar-SA"/>
              </w:rPr>
              <w:t>2014</w:t>
            </w:r>
          </w:p>
        </w:tc>
        <w:tc>
          <w:tcPr>
            <w:tcW w:type="dxa" w:w="97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3E6CE3" w:rsidP="005D65DE" w:rsidR="003E6CE3" w:rsidRPr="00780968">
            <w:pPr>
              <w:snapToGrid w:val="false"/>
              <w:jc w:val="center"/>
              <w:rPr>
                <w:rFonts w:cs="Calibri" w:hAnsi="Calibri" w:ascii="Calibri"/>
                <w:bCs/>
                <w:kern w:val="2"/>
                <w:sz w:val="16"/>
                <w:szCs w:val="16"/>
                <w:lang w:eastAsia="ar-SA"/>
              </w:rPr>
            </w:pPr>
            <w:r w:rsidRPr="00780968">
              <w:rPr>
                <w:rFonts w:cs="Calibri" w:hAnsi="Calibri" w:ascii="Calibri"/>
                <w:bCs/>
                <w:sz w:val="16"/>
                <w:szCs w:val="16"/>
                <w:lang w:eastAsia="ar-SA"/>
              </w:rPr>
              <w:t>2015</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I. POSLOVNI PRIHODI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2.282.196</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59.346.209</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II. POSLOVNI RASHODI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2.155.804</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58.583.173</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III. FINANCIJSKI PRIHODI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55</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59</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IV. FINANCIJSKI RASHODI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120.410</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1.038</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V UDIO U DOBITI OD PRIDRUŽENIH PODUZETNIKA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VI UDIO U GUBITKU OD PRIDRUŽENIH PODUZETNIKA</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VII. IZVANREDNI - OSTALI PRIHODI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VIII.IZVANREDNI - OSTALI RASHODI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IX. UKUPNI PRIHODI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2.282.251</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59.346.268</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X. UKUPNI RASHODI</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2.276.214</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58.584.211</w:t>
            </w:r>
          </w:p>
        </w:tc>
      </w:tr>
      <w:tr w:rsidTr="005D65DE" w:rsidR="003E6CE3">
        <w:trPr>
          <w:trHeight w:val="225"/>
        </w:trPr>
        <w:tc>
          <w:tcPr>
            <w:tcW w:type="dxa" w:w="370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rPr>
                <w:rFonts w:cs="Calibri" w:hAnsi="Calibri" w:ascii="Calibri"/>
                <w:bCs/>
                <w:kern w:val="2"/>
                <w:sz w:val="16"/>
                <w:szCs w:val="16"/>
                <w:lang w:eastAsia="ar-SA"/>
              </w:rPr>
            </w:pPr>
            <w:r w:rsidRPr="00780968">
              <w:rPr>
                <w:rFonts w:cs="Calibri" w:hAnsi="Calibri" w:ascii="Calibri"/>
                <w:bCs/>
                <w:sz w:val="16"/>
                <w:szCs w:val="16"/>
                <w:lang w:eastAsia="ar-SA"/>
              </w:rPr>
              <w:t>XI DOBIT ILI GUBITAK PRIJE OPOREZIVANJA</w:t>
            </w:r>
          </w:p>
        </w:tc>
        <w:tc>
          <w:tcPr>
            <w:tcW w:type="dxa" w:w="96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jc w:val="right"/>
              <w:rPr>
                <w:rFonts w:cs="Calibri" w:hAnsi="Calibri" w:ascii="Calibri"/>
                <w:bCs/>
                <w:kern w:val="2"/>
                <w:sz w:val="16"/>
                <w:szCs w:val="16"/>
                <w:lang w:eastAsia="ar-SA"/>
              </w:rPr>
            </w:pPr>
            <w:r w:rsidRPr="00780968">
              <w:rPr>
                <w:rFonts w:cs="Calibri" w:hAnsi="Calibri" w:ascii="Calibri"/>
                <w:bCs/>
                <w:sz w:val="16"/>
                <w:szCs w:val="16"/>
                <w:lang w:eastAsia="ar-SA"/>
              </w:rPr>
              <w:t>6.037</w:t>
            </w:r>
          </w:p>
        </w:tc>
        <w:tc>
          <w:tcPr>
            <w:tcW w:type="dxa" w:w="970"/>
            <w:tcBorders>
              <w:top w:val="nil"/>
              <w:left w:space="0" w:sz="4" w:color="000000" w:val="single"/>
              <w:bottom w:space="0" w:sz="4" w:color="000000" w:val="single"/>
              <w:right w:space="0" w:sz="4" w:color="000000" w:val="single"/>
            </w:tcBorders>
            <w:shd w:fill="auto" w:color="auto" w:val="clear"/>
            <w:vAlign w:val="center"/>
            <w:hideMark/>
          </w:tcPr>
          <w:p w:rsidRDefault="003E6CE3" w:rsidP="005D65DE" w:rsidR="003E6CE3" w:rsidRPr="00780968">
            <w:pPr>
              <w:snapToGrid w:val="false"/>
              <w:jc w:val="right"/>
              <w:rPr>
                <w:rFonts w:cs="Calibri" w:hAnsi="Calibri" w:ascii="Calibri"/>
                <w:bCs/>
                <w:kern w:val="2"/>
                <w:sz w:val="16"/>
                <w:szCs w:val="16"/>
                <w:lang w:eastAsia="ar-SA"/>
              </w:rPr>
            </w:pPr>
            <w:r w:rsidRPr="00780968">
              <w:rPr>
                <w:rFonts w:cs="Calibri" w:hAnsi="Calibri" w:ascii="Calibri"/>
                <w:bCs/>
                <w:sz w:val="16"/>
                <w:szCs w:val="16"/>
                <w:lang w:eastAsia="ar-SA"/>
              </w:rPr>
              <w:t>762.057</w:t>
            </w:r>
          </w:p>
        </w:tc>
      </w:tr>
      <w:tr w:rsidTr="005D65DE" w:rsidR="003E6CE3">
        <w:trPr>
          <w:trHeight w:val="225"/>
        </w:trPr>
        <w:tc>
          <w:tcPr>
            <w:tcW w:type="dxa" w:w="3700"/>
            <w:tcBorders>
              <w:top w:val="nil"/>
              <w:left w:space="0" w:sz="4" w:color="000000" w:val="single"/>
              <w:bottom w:space="0" w:sz="4" w:color="000000" w:val="single"/>
              <w:right w:val="nil"/>
            </w:tcBorders>
            <w:vAlign w:val="center"/>
            <w:hideMark/>
          </w:tcPr>
          <w:p w:rsidRDefault="003E6CE3" w:rsidP="005D65DE" w:rsidR="003E6CE3">
            <w:pPr>
              <w:snapToGrid w:val="false"/>
              <w:rPr>
                <w:rFonts w:cs="Calibri" w:hAnsi="Calibri" w:ascii="Calibri"/>
                <w:kern w:val="2"/>
                <w:sz w:val="16"/>
                <w:szCs w:val="16"/>
                <w:lang w:eastAsia="ar-SA"/>
              </w:rPr>
            </w:pPr>
            <w:r>
              <w:rPr>
                <w:rFonts w:cs="Calibri" w:hAnsi="Calibri" w:ascii="Calibri"/>
                <w:sz w:val="16"/>
                <w:szCs w:val="16"/>
                <w:lang w:eastAsia="ar-SA"/>
              </w:rPr>
              <w:t>XII. POREZ NA DOBIT</w:t>
            </w:r>
          </w:p>
        </w:tc>
        <w:tc>
          <w:tcPr>
            <w:tcW w:type="dxa" w:w="960"/>
            <w:tcBorders>
              <w:top w:val="nil"/>
              <w:left w:space="0" w:sz="4" w:color="000000" w:val="single"/>
              <w:bottom w:space="0" w:sz="4" w:color="000000" w:val="single"/>
              <w:right w:val="nil"/>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c>
          <w:tcPr>
            <w:tcW w:type="dxa" w:w="970"/>
            <w:tcBorders>
              <w:top w:val="nil"/>
              <w:left w:space="0" w:sz="4" w:color="000000" w:val="single"/>
              <w:bottom w:space="0" w:sz="4" w:color="000000" w:val="single"/>
              <w:right w:space="0" w:sz="4" w:color="000000" w:val="single"/>
            </w:tcBorders>
            <w:vAlign w:val="center"/>
            <w:hideMark/>
          </w:tcPr>
          <w:p w:rsidRDefault="003E6CE3" w:rsidP="005D65DE" w:rsidR="003E6CE3">
            <w:pPr>
              <w:snapToGrid w:val="false"/>
              <w:jc w:val="right"/>
              <w:rPr>
                <w:rFonts w:cs="Calibri" w:hAnsi="Calibri" w:ascii="Calibri"/>
                <w:kern w:val="2"/>
                <w:sz w:val="16"/>
                <w:szCs w:val="16"/>
                <w:lang w:eastAsia="ar-SA"/>
              </w:rPr>
            </w:pPr>
            <w:r>
              <w:rPr>
                <w:rFonts w:cs="Calibri" w:hAnsi="Calibri" w:ascii="Calibri"/>
                <w:sz w:val="16"/>
                <w:szCs w:val="16"/>
                <w:lang w:eastAsia="ar-SA"/>
              </w:rPr>
              <w:t>-</w:t>
            </w:r>
          </w:p>
        </w:tc>
      </w:tr>
      <w:tr w:rsidTr="005D65DE" w:rsidR="003E6CE3">
        <w:trPr>
          <w:trHeight w:val="225"/>
        </w:trPr>
        <w:tc>
          <w:tcPr>
            <w:tcW w:type="dxa" w:w="370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rPr>
                <w:rFonts w:cs="Calibri" w:hAnsi="Calibri" w:ascii="Calibri"/>
                <w:bCs/>
                <w:kern w:val="2"/>
                <w:sz w:val="16"/>
                <w:szCs w:val="16"/>
                <w:lang w:eastAsia="ar-SA"/>
              </w:rPr>
            </w:pPr>
            <w:r w:rsidRPr="00780968">
              <w:rPr>
                <w:rFonts w:cs="Calibri" w:hAnsi="Calibri" w:ascii="Calibri"/>
                <w:bCs/>
                <w:sz w:val="16"/>
                <w:szCs w:val="16"/>
                <w:lang w:eastAsia="ar-SA"/>
              </w:rPr>
              <w:t>XIII DOBIT ILI GUBITAK RAZDOBLJA</w:t>
            </w:r>
          </w:p>
        </w:tc>
        <w:tc>
          <w:tcPr>
            <w:tcW w:type="dxa" w:w="960"/>
            <w:tcBorders>
              <w:top w:val="nil"/>
              <w:left w:space="0" w:sz="4" w:color="000000" w:val="single"/>
              <w:bottom w:space="0" w:sz="4" w:color="000000" w:val="single"/>
              <w:right w:val="nil"/>
            </w:tcBorders>
            <w:shd w:fill="auto" w:color="auto" w:val="clear"/>
            <w:vAlign w:val="center"/>
            <w:hideMark/>
          </w:tcPr>
          <w:p w:rsidRDefault="003E6CE3" w:rsidP="005D65DE" w:rsidR="003E6CE3" w:rsidRPr="00780968">
            <w:pPr>
              <w:snapToGrid w:val="false"/>
              <w:jc w:val="right"/>
              <w:rPr>
                <w:rFonts w:cs="Calibri" w:hAnsi="Calibri" w:ascii="Calibri"/>
                <w:bCs/>
                <w:kern w:val="2"/>
                <w:sz w:val="16"/>
                <w:szCs w:val="16"/>
                <w:lang w:eastAsia="ar-SA"/>
              </w:rPr>
            </w:pPr>
            <w:r w:rsidRPr="00780968">
              <w:rPr>
                <w:rFonts w:cs="Calibri" w:hAnsi="Calibri" w:ascii="Calibri"/>
                <w:bCs/>
                <w:sz w:val="16"/>
                <w:szCs w:val="16"/>
                <w:lang w:eastAsia="ar-SA"/>
              </w:rPr>
              <w:t>6.037</w:t>
            </w:r>
          </w:p>
        </w:tc>
        <w:tc>
          <w:tcPr>
            <w:tcW w:type="dxa" w:w="970"/>
            <w:tcBorders>
              <w:top w:val="nil"/>
              <w:left w:space="0" w:sz="4" w:color="000000" w:val="single"/>
              <w:bottom w:space="0" w:sz="4" w:color="000000" w:val="single"/>
              <w:right w:space="0" w:sz="4" w:color="000000" w:val="single"/>
            </w:tcBorders>
            <w:shd w:fill="auto" w:color="auto" w:val="clear"/>
            <w:vAlign w:val="center"/>
            <w:hideMark/>
          </w:tcPr>
          <w:p w:rsidRDefault="003E6CE3" w:rsidP="005D65DE" w:rsidR="003E6CE3" w:rsidRPr="00780968">
            <w:pPr>
              <w:snapToGrid w:val="false"/>
              <w:jc w:val="right"/>
              <w:rPr>
                <w:rFonts w:cs="Calibri" w:hAnsi="Calibri" w:ascii="Calibri"/>
                <w:bCs/>
                <w:kern w:val="2"/>
                <w:sz w:val="16"/>
                <w:szCs w:val="16"/>
                <w:lang w:eastAsia="ar-SA"/>
              </w:rPr>
            </w:pPr>
            <w:r w:rsidRPr="00780968">
              <w:rPr>
                <w:rFonts w:cs="Calibri" w:hAnsi="Calibri" w:ascii="Calibri"/>
                <w:bCs/>
                <w:sz w:val="16"/>
                <w:szCs w:val="16"/>
                <w:lang w:eastAsia="ar-SA"/>
              </w:rPr>
              <w:t>762.057</w:t>
            </w:r>
          </w:p>
        </w:tc>
      </w:tr>
    </w:tbl>
    <w:p w:rsidRDefault="003E6CE3" w:rsidP="003E6CE3" w:rsidR="003E6CE3">
      <w:pPr>
        <w:jc w:val="both"/>
      </w:pPr>
    </w:p>
    <w:p w:rsidRDefault="003E6CE3" w:rsidP="003E6CE3" w:rsidR="003E6CE3">
      <w:pPr>
        <w:jc w:val="both"/>
      </w:pPr>
      <w:r>
        <w:tab/>
        <w:t>Iz prikupljenih dostupnih podataka vidljivo je da je dužnik nelikvidan i nesposoban za plaćanje, odnosno da postoje stečajni razlozi u odredbi članka 4. stav 3. i članka 6. stav 2. Stečajnog zakona, nesposobnost za plaćanje. Sagledavajući ukupnu imovinu dužnika, dugotrajnu koja prema stanju 31.12.2015. godine iznosi 31.805,00 kn, od čega se na nematerijalnu imovinu (software) odnosi iznos 4.812,00 kn, za postrojenja i opremu iznos 4.326,00 kn te alate u iznosu 22.667,00 kn. Gdje je smještena ta imovina privremeni stečajni upravitelj nema saznanja niti da li ona danas postoji, budući da nije mogao stupiti u kontakt s direktorom društva Jovanom Malenčićem. Kratkotrajna imovina dužnika 31.12.2015. godine iznosila je 46.427.030,00 kn, a odnosi se na zalihe robe u iznosu 3.410.259,00 kn, potraživanja u iznosu 42.999.247,00 kn te novac na računu u iznosu 17.524,00 kn. Iz bilance za 2015. godinu, kada je vlasnik ujedno i direktor društva bio Ilija Mamula, vidljiv je ogroman rast prihoda, zaliha robe i potraživanja te obveza prema vjerovnicima. Što se događalo s imovinom i promjenama koje je ta imovina pretrpjela nema saznanja. S obzirom na to da nisu dostavljena financijska izvješća za 2016. godinu nema saznanja ni o tome što se događalo s imovinom nakon preuzimanja vlasništva od 24.02.2017. godine od strane novog vlasnika ujedno i direktora društva Jovana Malenčića.</w:t>
      </w:r>
    </w:p>
    <w:p w:rsidRDefault="003E6CE3" w:rsidP="003E6CE3" w:rsidR="003E6CE3">
      <w:pPr>
        <w:jc w:val="both"/>
      </w:pPr>
    </w:p>
    <w:p w:rsidRDefault="003E6CE3" w:rsidP="003E6CE3" w:rsidR="003E6CE3">
      <w:pPr>
        <w:jc w:val="both"/>
      </w:pPr>
      <w:r>
        <w:tab/>
        <w:t>Kako dužnik nije dao popis imovine i obveza prema članku 16. i 17. Stečajnog zakona niti sudu niti na zahtjev privremen</w:t>
      </w:r>
      <w:r w:rsidR="00194395">
        <w:t>og</w:t>
      </w:r>
      <w:r>
        <w:t xml:space="preserve"> stečajn</w:t>
      </w:r>
      <w:r w:rsidR="00194395">
        <w:t>og</w:t>
      </w:r>
      <w:r>
        <w:t xml:space="preserve"> upravitelj</w:t>
      </w:r>
      <w:r w:rsidR="00194395">
        <w:t>a</w:t>
      </w:r>
      <w:r>
        <w:t xml:space="preserve"> mišljenja je da dužnik ne raspolaže materijalnom imovinom iz koje proizlazi mogućnost namirenja troškova stečajnog postupka i u određenom dijelu vjerovnika,  te </w:t>
      </w:r>
      <w:r w:rsidR="00194395">
        <w:t xml:space="preserve">je </w:t>
      </w:r>
      <w:r>
        <w:t>predl</w:t>
      </w:r>
      <w:r w:rsidR="00194395">
        <w:t>o</w:t>
      </w:r>
      <w:r>
        <w:t>ž</w:t>
      </w:r>
      <w:r w:rsidR="00194395">
        <w:t>io</w:t>
      </w:r>
      <w:r>
        <w:t xml:space="preserve"> da </w:t>
      </w:r>
      <w:r w:rsidR="00194395">
        <w:t>s</w:t>
      </w:r>
      <w:r>
        <w:t xml:space="preserve">ud postupi sukladno odredbi članka 132. stav 1. i 2. Stečajnog zakona da pozove osobe koje imaju pravni interes za provedbu stečajnog postupka da u roku 15 dana uplate predujam u iznosu 24.110,00 kn za namirenje troškova prethodnog i otvorenog stečajnog postupka kao što su troškovi otvaranja i zatvaranja računa u iznosu 500,00 kn, izrada </w:t>
      </w:r>
      <w:r>
        <w:lastRenderedPageBreak/>
        <w:t>pečata 150,00 kn, knjigovodstvene usluge u stečaju (500,00 kn mjesečno + PDV x 12 mjeseci) 7.500,00 kn, nagrada stečajnom upravitelju prema članku 7. Uredbe o kriterijima i načinu obračuna plaćanja nagrade stečajnom upravitelju u bruto iznosu od 10.000,00 kn, jednokratna nagrada privremenom stečajnom upravitelju za obavljene poslove u prethodnom postupku prema čl. 4. Uredbe 4.000,00 kn bruto, arhiviranje dokumentacije 1.500,00 kn i naknada FINA-i za dvije objave GFI 460,00 kn. Ako osobe iz stava 1. ovog članka ne predujme traženi iznos</w:t>
      </w:r>
      <w:r w:rsidR="00194395">
        <w:t xml:space="preserve"> da</w:t>
      </w:r>
      <w:r>
        <w:t xml:space="preserve"> sud don</w:t>
      </w:r>
      <w:r w:rsidR="00645F75">
        <w:t>ese</w:t>
      </w:r>
      <w:r>
        <w:t xml:space="preserve"> rješenje o otvaranju i zaključenju stečajnog postupka.</w:t>
      </w:r>
    </w:p>
    <w:p w:rsidRDefault="004A07A0" w:rsidP="003E6CE3" w:rsidR="004A07A0">
      <w:pPr>
        <w:ind w:firstLine="708"/>
        <w:jc w:val="both"/>
      </w:pPr>
    </w:p>
    <w:p w:rsidRDefault="004A07A0" w:rsidP="004A07A0"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D49F3">
        <w:t>2</w:t>
      </w:r>
      <w:r>
        <w:t>0.0</w:t>
      </w:r>
      <w:r w:rsidR="007D49F3">
        <w:t>2</w:t>
      </w:r>
      <w:r>
        <w:t>.2018. privremen</w:t>
      </w:r>
      <w:r w:rsidR="007D49F3">
        <w:t>i</w:t>
      </w:r>
      <w:r>
        <w:t xml:space="preserve"> stečajn</w:t>
      </w:r>
      <w:r w:rsidR="007D49F3">
        <w:t>i</w:t>
      </w:r>
      <w:r>
        <w:t xml:space="preserve"> upravitelj je osta</w:t>
      </w:r>
      <w:r w:rsidR="007D49F3">
        <w:t>o</w:t>
      </w:r>
      <w:r>
        <w:t xml:space="preserve"> kod svoga izvješća od </w:t>
      </w:r>
      <w:r w:rsidR="007D49F3">
        <w:t>12</w:t>
      </w:r>
      <w:r>
        <w:t>.0</w:t>
      </w:r>
      <w:r w:rsidR="007D49F3">
        <w:t>2</w:t>
      </w:r>
      <w:r>
        <w:t>.201</w:t>
      </w:r>
      <w:r w:rsidR="00F750D7">
        <w:t>8</w:t>
      </w:r>
      <w:r>
        <w:t>. koje prileži u spisu na listu 3</w:t>
      </w:r>
      <w:r w:rsidR="007D49F3">
        <w:t>2</w:t>
      </w:r>
      <w:r>
        <w:t>-</w:t>
      </w:r>
      <w:r w:rsidR="00F750D7">
        <w:t>36</w:t>
      </w:r>
      <w:r>
        <w:t>.</w:t>
      </w:r>
    </w:p>
    <w:p w:rsidRDefault="004A07A0" w:rsidP="004A07A0" w:rsidR="004A07A0">
      <w:pPr>
        <w:jc w:val="both"/>
      </w:pPr>
    </w:p>
    <w:p w:rsidRDefault="004A07A0" w:rsidP="004A07A0" w:rsidR="004A07A0">
      <w:pPr>
        <w:jc w:val="both"/>
      </w:pPr>
      <w:r>
        <w:tab/>
        <w:t>ŽDO GUO Osijek nije imao primjedbe na izvješće privremen</w:t>
      </w:r>
      <w:r w:rsidR="00AC041E">
        <w:t>og</w:t>
      </w:r>
      <w:r>
        <w:t xml:space="preserve"> stečajn</w:t>
      </w:r>
      <w:r w:rsidR="00AC041E">
        <w:t>og</w:t>
      </w:r>
      <w:r>
        <w:t xml:space="preserve"> upravitelj</w:t>
      </w:r>
      <w:r w:rsidR="00AC041E">
        <w:t>a</w:t>
      </w:r>
      <w:r>
        <w:t xml:space="preserve"> kao ni na navode na ročištu.</w:t>
      </w:r>
    </w:p>
    <w:p w:rsidRDefault="004A07A0" w:rsidP="0088447A" w:rsidR="004A07A0">
      <w:pPr>
        <w:pStyle w:val="Tijeloteksta2"/>
        <w:spacing w:lineRule="auto" w:line="240"/>
        <w:ind w:firstLine="720"/>
        <w:jc w:val="both"/>
      </w:pPr>
    </w:p>
    <w:p w:rsidRDefault="00263420" w:rsidP="00263420" w:rsidR="00263420">
      <w:pPr>
        <w:ind w:firstLine="708"/>
        <w:jc w:val="both"/>
      </w:pPr>
      <w:r>
        <w:t xml:space="preserve">Sud je svojim rješenjem od </w:t>
      </w:r>
      <w:r w:rsidR="00AC041E">
        <w:t>2</w:t>
      </w:r>
      <w:r w:rsidR="009C7B45">
        <w:t>0</w:t>
      </w:r>
      <w:r>
        <w:t>.</w:t>
      </w:r>
      <w:r w:rsidR="009C7B45">
        <w:t>0</w:t>
      </w:r>
      <w:r w:rsidR="00AC041E">
        <w:t>2</w:t>
      </w:r>
      <w:r>
        <w:t>.201</w:t>
      </w:r>
      <w:r w:rsidR="009C7B45">
        <w:t>8</w:t>
      </w:r>
      <w:r>
        <w:t xml:space="preserve">. pozvao osobe koje imaju pravni interes da se provede stečajni postupak nad ovim dužnikom na uplatu predujma u iznosu od </w:t>
      </w:r>
      <w:r w:rsidR="00AC041E" w:rsidRPr="00AC041E">
        <w:t xml:space="preserve">24.110,00 </w:t>
      </w:r>
      <w:r>
        <w:t>kn (</w:t>
      </w:r>
      <w:r w:rsidR="000315D2" w:rsidRPr="000315D2">
        <w:t>troškovi otvaranja i zatvaranja računa u iznosu 500,00 kn, izrada pečata 150,00 kn, knjigovodstvene usluge u stečaju (500,00 kn mjesečno + PDV x 12 mjeseci) 7.500,00 kn, nagrada stečajnom upravitelju prema članku 7. Uredbe o kriterijima i načinu obračuna plaćanja nagrade stečajnom upravitelju u bruto iznosu od 10.000,00 kn, jednokratna nagrada privremenom stečajnom upravitelju za obavljene poslove u prethodnom postupku prema čl. 4. Uredbe 4.000,00 kn bruto, arhiviranje dokumentacije 1.500,00 kn i naknada FINA-i za dvije objave GFI 460,00 kn</w:t>
      </w:r>
      <w:r w:rsidRPr="008B6CCD">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Potvrda o neizvršenim osnovama za plaćanje od </w:t>
      </w:r>
      <w:r w:rsidR="000315D2">
        <w:t>8</w:t>
      </w:r>
      <w:r>
        <w:t>.</w:t>
      </w:r>
      <w:r w:rsidR="000315D2">
        <w:t>0</w:t>
      </w:r>
      <w:r w:rsidR="00876716">
        <w:t>1</w:t>
      </w:r>
      <w:r>
        <w:t>.201</w:t>
      </w:r>
      <w:r w:rsidR="000315D2">
        <w:t>8</w:t>
      </w:r>
      <w:r>
        <w:t xml:space="preserve">., </w:t>
      </w:r>
      <w:r w:rsidR="000F21C9">
        <w:t>Potvrda Općinskog građanskog suda u Zagrebu zk odjel Sesvete od 8.01.2018.,</w:t>
      </w:r>
      <w:r w:rsidR="004459F6">
        <w:t xml:space="preserve"> Uvjerenje Stanice za tehnički pregled vozila, Centar za vozila Hrvatske d.d. CVH STP "ZAGREB I" Zagreb od 23.01.2018., Izvješće privremenog stečajnog upravitelja od 12.02.2018.</w:t>
      </w:r>
      <w:r w:rsidR="00A421AC">
        <w:t xml:space="preserve"> (5 stranica), Potvrda o blokadi računa i novčanih sredstava ovršenika od 25.01.2018., Potvrda Općinskog građanskog suda u Zagrebu zk odjel Sesvete od 26.01.2018., Očevidnik FINE o redoslijedu neizvršenih osnova za plaćanje od 25.01.2018.,</w:t>
      </w:r>
      <w:r w:rsidR="0073027D">
        <w:t xml:space="preserve"> Stanje računa poreznog obveznika na dan 24.01.2018. i </w:t>
      </w:r>
      <w:r>
        <w:t xml:space="preserve">Uvjerenje MUP PU Zagrebačka, </w:t>
      </w:r>
      <w:r w:rsidR="0073027D">
        <w:t xml:space="preserve">PP Sesvete </w:t>
      </w:r>
      <w:r>
        <w:t xml:space="preserve">od </w:t>
      </w:r>
      <w:r w:rsidR="0073027D">
        <w:t>25</w:t>
      </w:r>
      <w:r>
        <w:t>.</w:t>
      </w:r>
      <w:r w:rsidR="0073027D">
        <w:t>0</w:t>
      </w:r>
      <w:r w:rsidR="00876716">
        <w:t>1</w:t>
      </w:r>
      <w:r>
        <w:t>.201</w:t>
      </w:r>
      <w:r w:rsidR="0073027D">
        <w:t>8.,</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645F75">
        <w:t>5</w:t>
      </w:r>
      <w:r w:rsidR="00FD0353" w:rsidRPr="00FD0353">
        <w:t xml:space="preserve">. travnja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pPr>
        <w:pStyle w:val="Tijeloteksta"/>
        <w:rPr>
          <w:bCs/>
        </w:rPr>
      </w:pPr>
    </w:p>
    <w:p w:rsidRDefault="00FD0353" w:rsidP="00A275FE" w:rsidR="00FD0353">
      <w:pPr>
        <w:pStyle w:val="Tijeloteksta"/>
        <w:rPr>
          <w:bCs/>
        </w:rPr>
      </w:pPr>
    </w:p>
    <w:p w:rsidRDefault="00FD0353" w:rsidP="00A275FE" w:rsidR="00FD0353">
      <w:pPr>
        <w:pStyle w:val="Tijeloteksta"/>
        <w:rPr>
          <w:bCs/>
        </w:rPr>
      </w:pP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FD0353">
        <w:rPr>
          <w:bCs/>
        </w:rPr>
        <w:t>Filip Babić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D932C4" w:rsidR="00A275FE" w:rsidRPr="007E6923">
      <w:pPr>
        <w:numPr>
          <w:ilvl w:val="0"/>
          <w:numId w:val="2"/>
        </w:numPr>
        <w:jc w:val="both"/>
        <w:rPr>
          <w:bCs/>
        </w:rPr>
      </w:pPr>
      <w:r>
        <w:rPr>
          <w:bCs/>
        </w:rPr>
        <w:t xml:space="preserve">zakonski zastupnik dužnika </w:t>
      </w:r>
      <w:r w:rsidR="00FD0353" w:rsidRPr="00FD0353">
        <w:t>Jovan Malenčić, Srbija, Ratkovac, Ratkovac 0</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30BF">
      <w:rPr>
        <w:rStyle w:val="Brojstranice"/>
        <w:noProof/>
      </w:rPr>
      <w:t>6</w:t>
    </w:r>
    <w:r>
      <w:rPr>
        <w:rStyle w:val="Brojstranice"/>
      </w:rPr>
      <w:fldChar w:fldCharType="end"/>
    </w:r>
  </w:p>
  <w:p w:rsidRDefault="008D414A" w:rsidP="008D414A" w:rsidR="00A4485C">
    <w:pPr>
      <w:pStyle w:val="Zaglavlje"/>
      <w:jc w:val="right"/>
    </w:pPr>
    <w:r w:rsidRPr="008D414A">
      <w:t>14 St-</w:t>
    </w:r>
    <w:r w:rsidR="00882CBE" w:rsidRPr="00882CBE">
      <w:t>1233/17-23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3"/>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0BF"/>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E6CE3"/>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3430BF"/>
    <w:rPr>
      <w:color w:val="808080"/>
      <w:bdr w:space="0" w:sz="0" w:color="auto" w:val="none"/>
      <w:shd w:fill="auto" w:color="auto" w:val="clear"/>
    </w:rPr>
  </w:style>
  <w:style w:customStyle="true" w:styleId="eSPISCCParagraphDefaultFont" w:type="character">
    <w:name w:val="eSPIS_CC_Paragraph Default Font"/>
    <w:basedOn w:val="Zadanifontodlomka"/>
    <w:rsid w:val="003430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30BF"/>
    <w:rPr>
      <w:bdr w:space="0" w:sz="0" w:color="auto" w:val="none"/>
      <w:shd w:fill="FFFFCC" w:color="auto" w:val="clear"/>
      <w:lang w:val="hr-HR"/>
    </w:rPr>
  </w:style>
  <w:style w:customStyle="true" w:styleId="PozadinaSvijetloCrvena" w:type="character">
    <w:name w:val="Pozadina_SvijetloCrvena"/>
    <w:basedOn w:val="eSPISCCParagraphDefaultFont"/>
    <w:rsid w:val="003430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30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3430BF"/>
    <w:rPr>
      <w:color w:val="808080"/>
      <w:bdr w:color="auto" w:space="0" w:sz="0" w:val="none"/>
      <w:shd w:color="auto" w:fill="auto" w:val="clear"/>
    </w:rPr>
  </w:style>
  <w:style w:customStyle="1" w:styleId="eSPISCCParagraphDefaultFont" w:type="character">
    <w:name w:val="eSPIS_CC_Paragraph Default Font"/>
    <w:basedOn w:val="Zadanifontodlomka"/>
    <w:rsid w:val="003430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30BF"/>
    <w:rPr>
      <w:bdr w:color="auto" w:space="0" w:sz="0" w:val="none"/>
      <w:shd w:color="auto" w:fill="FFFFCC" w:val="clear"/>
      <w:lang w:val="hr-HR"/>
    </w:rPr>
  </w:style>
  <w:style w:customStyle="1" w:styleId="PozadinaSvijetloCrvena" w:type="character">
    <w:name w:val="Pozadina_SvijetloCrvena"/>
    <w:basedOn w:val="eSPISCCParagraphDefaultFont"/>
    <w:rsid w:val="003430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30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St-1233/2017</izvorni_sadrzaj>
    <derivirana_varijabla naziv="DomainObject.Predmet.OznakaBroj_1">St-1233/2017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PRIJEVOZ I TRGOVINA DAMPA d.o.o.</izvorni_sadrzaj>
    <derivirana_varijabla naziv="DomainObject.Predmet.ProtustrankaFormated_1">  PRIJEVOZ I TRGOVINA DAMPA d.o.o.</derivirana_varijabla>
  </DomainObject.Predmet.ProtustrankaFormated>
  <DomainObject.Predmet.ProtustrankaFormatedOIB>
    <izvorni_sadrzaj>  PRIJEVOZ I TRGOVINA DAMPA d.o.o., OIB 58911872416</izvorni_sadrzaj>
    <derivirana_varijabla naziv="DomainObject.Predmet.ProtustrankaFormatedOIB_1">  PRIJEVOZ I TRGOVINA DAMPA d.o.o., OIB 58911872416</derivirana_varijabla>
  </DomainObject.Predmet.ProtustrankaFormatedOIB>
  <DomainObject.Predmet.ProtustrankaFormatedWithAdress>
    <izvorni_sadrzaj> PRIJEVOZ I TRGOVINA DAMPA d.o.o., Novačka 62 B, 10000 Zagreb</izvorni_sadrzaj>
    <derivirana_varijabla naziv="DomainObject.Predmet.ProtustrankaFormatedWithAdress_1"> PRIJEVOZ I TRGOVINA DAMPA d.o.o., Novačka 62 B, 10000 Zagreb</derivirana_varijabla>
  </DomainObject.Predmet.ProtustrankaFormatedWithAdress>
  <DomainObject.Predmet.ProtustrankaFormatedWithAdressOIB>
    <izvorni_sadrzaj> PRIJEVOZ I TRGOVINA DAMPA d.o.o., OIB 58911872416, Novačka 62 B, 10000 Zagreb</izvorni_sadrzaj>
    <derivirana_varijabla naziv="DomainObject.Predmet.ProtustrankaFormatedWithAdressOIB_1"> PRIJEVOZ I TRGOVINA DAMPA d.o.o., OIB 58911872416, Novačka 62 B, 10000 Zagreb</derivirana_varijabla>
  </DomainObject.Predmet.ProtustrankaFormatedWithAdressOIB>
  <DomainObject.Predmet.ProtustrankaWithAdress>
    <izvorni_sadrzaj>PRIJEVOZ I TRGOVINA DAMPA d.o.o. Novačka 62 B, 10000 Zagreb</izvorni_sadrzaj>
    <derivirana_varijabla naziv="DomainObject.Predmet.ProtustrankaWithAdress_1">PRIJEVOZ I TRGOVINA DAMPA d.o.o. Novačka 62 B, 10000 Zagreb</derivirana_varijabla>
  </DomainObject.Predmet.ProtustrankaWithAdress>
  <DomainObject.Predmet.ProtustrankaWithAdressOIB>
    <izvorni_sadrzaj>PRIJEVOZ I TRGOVINA DAMPA d.o.o., OIB 58911872416, Novačka 62 B, 10000 Zagreb</izvorni_sadrzaj>
    <derivirana_varijabla naziv="DomainObject.Predmet.ProtustrankaWithAdressOIB_1">PRIJEVOZ I TRGOVINA DAMPA d.o.o., OIB 58911872416, Novačka 62 B, 10000 Zagreb</derivirana_varijabla>
  </DomainObject.Predmet.ProtustrankaWithAdressOIB>
  <DomainObject.Predmet.ProtustrankaNazivFormated>
    <izvorni_sadrzaj>PRIJEVOZ I TRGOVINA DAMPA d.o.o.</izvorni_sadrzaj>
    <derivirana_varijabla naziv="DomainObject.Predmet.ProtustrankaNazivFormated_1">PRIJEVOZ I TRGOVINA DAMPA d.o.o.</derivirana_varijabla>
  </DomainObject.Predmet.ProtustrankaNazivFormated>
  <DomainObject.Predmet.ProtustrankaNazivFormatedOIB>
    <izvorni_sadrzaj>PRIJEVOZ I TRGOVINA DAMPA d.o.o., OIB 58911872416</izvorni_sadrzaj>
    <derivirana_varijabla naziv="DomainObject.Predmet.ProtustrankaNazivFormatedOIB_1">PRIJEVOZ I TRGOVINA DAMPA d.o.o., OIB 58911872416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PRIJEVOZ I TRGOVINA DAMPA d.o.o.</item>
    </izvorni_sadrzaj>
    <derivirana_varijabla naziv="DomainObject.Predmet.ProtuStrankaListFormated_1">
      <item>PRIJEVOZ I TRGOVINA DAMPA d.o.o.</item>
    </derivirana_varijabla>
  </DomainObject.Predmet.ProtuStrankaListFormated>
  <DomainObject.Predmet.ProtuStrankaListFormatedOIB>
    <izvorni_sadrzaj>
      <item>PRIJEVOZ I TRGOVINA DAMPA d.o.o., OIB 58911872416</item>
    </izvorni_sadrzaj>
    <derivirana_varijabla naziv="DomainObject.Predmet.ProtuStrankaListFormatedOIB_1">
      <item>PRIJEVOZ I TRGOVINA DAMPA d.o.o., OIB 58911872416</item>
    </derivirana_varijabla>
  </DomainObject.Predmet.ProtuStrankaListFormatedOIB>
  <DomainObject.Predmet.ProtuStrankaListFormatedWithAdress>
    <izvorni_sadrzaj>
      <item>PRIJEVOZ I TRGOVINA DAMPA d.o.o., Novačka 62 B, 10000 Zagreb</item>
    </izvorni_sadrzaj>
    <derivirana_varijabla naziv="DomainObject.Predmet.ProtuStrankaListFormatedWithAdress_1">
      <item>PRIJEVOZ I TRGOVINA DAMPA d.o.o., Novačka 62 B, 10000 Zagreb</item>
    </derivirana_varijabla>
  </DomainObject.Predmet.ProtuStrankaListFormatedWithAdress>
  <DomainObject.Predmet.ProtuStrankaListFormatedWithAdressOIB>
    <izvorni_sadrzaj>
      <item>PRIJEVOZ I TRGOVINA DAMPA d.o.o., OIB 58911872416, Novačka 62 B, 10000 Zagreb</item>
    </izvorni_sadrzaj>
    <derivirana_varijabla naziv="DomainObject.Predmet.ProtuStrankaListFormatedWithAdressOIB_1">
      <item>PRIJEVOZ I TRGOVINA DAMPA d.o.o., OIB 58911872416, Novačka 62 B, 10000 Zagreb</item>
    </derivirana_varijabla>
  </DomainObject.Predmet.ProtuStrankaListFormatedWithAdressOIB>
  <DomainObject.Predmet.ProtuStrankaListNazivFormated>
    <izvorni_sadrzaj>
      <item>PRIJEVOZ I TRGOVINA DAMPA d.o.o.</item>
    </izvorni_sadrzaj>
    <derivirana_varijabla naziv="DomainObject.Predmet.ProtuStrankaListNazivFormated_1">
      <item>PRIJEVOZ I TRGOVINA DAMPA d.o.o.</item>
    </derivirana_varijabla>
  </DomainObject.Predmet.ProtuStrankaListNazivFormated>
  <DomainObject.Predmet.ProtuStrankaListNazivFormatedOIB>
    <izvorni_sadrzaj>
      <item>PRIJEVOZ I TRGOVINA DAMPA d.o.o., OIB 58911872416</item>
    </izvorni_sadrzaj>
    <derivirana_varijabla naziv="DomainObject.Predmet.ProtuStrankaListNazivFormatedOIB_1">
      <item>PRIJEVOZ I TRGOVINA DAMPA d.o.o., OIB 58911872416</item>
    </derivirana_varijabla>
  </DomainObject.Predmet.ProtuStrankaListNazivFormatedOIB>
  <DomainObject.Predmet.OstaliListFormated>
    <izvorni_sadrzaj>
      <item>Jovan Malenčić</item>
      <item>ŽDO GUO Osijek</item>
    </izvorni_sadrzaj>
    <derivirana_varijabla naziv="DomainObject.Predmet.OstaliListFormated_1">
      <item>Jovan Malenčić</item>
      <item>ŽDO GUO Osijek</item>
    </derivirana_varijabla>
  </DomainObject.Predmet.OstaliListFormated>
  <DomainObject.Predmet.OstaliListFormatedOIB>
    <izvorni_sadrzaj>
      <item>Jovan Malenčić, OIB 64492471142</item>
      <item>ŽDO GUO Osijek, OIB 52634238587</item>
    </izvorni_sadrzaj>
    <derivirana_varijabla naziv="DomainObject.Predmet.OstaliListFormatedOIB_1">
      <item>Jovan Malenčić, OIB 64492471142</item>
      <item>ŽDO GUO Osijek, OIB 52634238587</item>
    </derivirana_varijabla>
  </DomainObject.Predmet.OstaliListFormatedOIB>
  <DomainObject.Predmet.OstaliListFormatedWithAdress>
    <izvorni_sadrzaj>
      <item>Jovan Malenčić, Ratkovac 0, Ratkovac</item>
      <item>ŽDO GUO Osijek</item>
    </izvorni_sadrzaj>
    <derivirana_varijabla naziv="DomainObject.Predmet.OstaliListFormatedWithAdress_1">
      <item>Jovan Malenčić, Ratkovac 0, Ratkovac</item>
      <item>ŽDO GUO Osijek</item>
    </derivirana_varijabla>
  </DomainObject.Predmet.OstaliListFormatedWithAdress>
  <DomainObject.Predmet.OstaliListFormatedWithAdressOIB>
    <izvorni_sadrzaj>
      <item>Jovan Malenčić, OIB 64492471142, Ratkovac 0, Ratkovac</item>
      <item>ŽDO GUO Osijek, OIB 52634238587</item>
    </izvorni_sadrzaj>
    <derivirana_varijabla naziv="DomainObject.Predmet.OstaliListFormatedWithAdressOIB_1">
      <item>Jovan Malenčić, OIB 64492471142, Ratkovac 0, Ratkovac</item>
      <item>ŽDO GUO Osijek, OIB 52634238587</item>
    </derivirana_varijabla>
  </DomainObject.Predmet.OstaliListFormatedWithAdressOIB>
  <DomainObject.Predmet.OstaliListNazivFormated>
    <izvorni_sadrzaj>
      <item>Jovan Malenčić</item>
      <item>ŽDO GUO Osijek</item>
    </izvorni_sadrzaj>
    <derivirana_varijabla naziv="DomainObject.Predmet.OstaliListNazivFormated_1">
      <item>Jovan Malenčić</item>
      <item>ŽDO GUO Osijek</item>
    </derivirana_varijabla>
  </DomainObject.Predmet.OstaliListNazivFormated>
  <DomainObject.Predmet.OstaliListNazivFormatedOIB>
    <izvorni_sadrzaj>
      <item>Jovan Malenčić, OIB 64492471142</item>
      <item>ŽDO GUO Osijek, OIB 52634238587</item>
    </izvorni_sadrzaj>
    <derivirana_varijabla naziv="DomainObject.Predmet.OstaliListNazivFormatedOIB_1">
      <item>Jovan Malenčić, OIB 64492471142</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PRIJEVOZ I TRGOVINA DAMPA d.o.o.</izvorni_sadrzaj>
    <derivirana_varijabla naziv="DomainObject.Predmet.ProtustrankaIDrugi_1">PRIJEVOZ I TRGOVINA DAMPA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PRIJEVOZ I TRGOVINA DAMPA d.o.o., OIB 58911872416, Novačka 62 B, 10000 Zagreb</izvorni_sadrzaj>
    <derivirana_varijabla naziv="DomainObject.Predmet.ProtustrankaIDrugiAdressOIB_1">PRIJEVOZ I TRGOVINA DAMPA d.o.o., OIB 58911872416, Novačka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 I TRGOVINA DAMPA d.o.o.</item>
      <item>FINA Regionalni centar Zagreb</item>
      <item>Jovan Malenčić</item>
      <item>ŽDO GUO Osijek</item>
    </izvorni_sadrzaj>
    <derivirana_varijabla naziv="DomainObject.Predmet.SudioniciListNaziv_1">
      <item>PRIJEVOZ I TRGOVINA DAMPA d.o.o.</item>
      <item>FINA Regionalni centar Zagreb</item>
      <item>Jovan Malenčić</item>
      <item>ŽDO GUO Osijek</item>
    </derivirana_varijabla>
  </DomainObject.Predmet.SudioniciListNaziv>
  <DomainObject.Predmet.SudioniciListAdressOIB>
    <izvorni_sadrzaj>
      <item>PRIJEVOZ I TRGOVINA DAMPA d.o.o., OIB 58911872416, Novačka 62 B,10000 Zagreb</item>
      <item>FINA Regionalni centar Zagreb, OIB 85821130368, Trg svibanjskih žrtava 1995. 1,10000 Zagreb</item>
      <item>Jovan Malenčić, OIB 64492471142, Ratkovac 0,Ratkovac</item>
      <item>ŽDO GUO Osijek, OIB 52634238587</item>
    </izvorni_sadrzaj>
    <derivirana_varijabla naziv="DomainObject.Predmet.SudioniciListAdressOIB_1">
      <item>PRIJEVOZ I TRGOVINA DAMPA d.o.o., OIB 58911872416, Novačka 62 B,10000 Zagreb</item>
      <item>FINA Regionalni centar Zagreb, OIB 85821130368, Trg svibanjskih žrtava 1995. 1,10000 Zagreb</item>
      <item>Jovan Malenčić, OIB 64492471142, Ratkovac 0,Ratkovac</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58911872416</item>
      <item>, OIB 85821130368</item>
      <item>, OIB 64492471142</item>
      <item>, OIB 52634238587</item>
    </izvorni_sadrzaj>
    <derivirana_varijabla naziv="DomainObject.Predmet.SudioniciListNazivOIB_1">
      <item>, OIB 58911872416</item>
      <item>, OIB 85821130368</item>
      <item>, OIB 64492471142</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3F3E1D-07C5-4FC1-BEFB-8593A13CA0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2042</properties:Words>
  <properties:Characters>11545</properties:Characters>
  <properties:Lines>350</properties:Lines>
  <properties:Paragraphs>184</properties:Paragraphs>
  <properties:TotalTime>916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2018-02-26T10:19:00Z</cp:lastPrinted>
  <dcterms:modified xmlns:xsi="http://www.w3.org/2001/XMLSchema-instance" xsi:type="dcterms:W3CDTF">2018-04-05T08:55:00Z</dcterms:modified>
  <cp:revision>84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6</vt:i4>
  </prop:property>
</prop:Properties>
</file>