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818f" w14:paraId="ba5818f" w:rsidRDefault="003D0BF9" w:rsidP="001705BB" w:rsidR="00896057">
      <w:pPr>
        <w:pStyle w:val="Bezproreda"/>
        <w15:collapsed w:val="false"/>
      </w:pPr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2397">
        <w:rPr>
          <w:noProof/>
          <w:lang w:eastAsia="hr-HR"/>
        </w:rPr>
        <w:t xml:space="preserve">                                                                                         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110DB8" w:rsidP="00110DB8" w:rsidR="00110DB8">
      <w:pPr>
        <w:spacing w:after="0"/>
        <w:jc w:val="both"/>
      </w:pPr>
    </w:p>
    <w:p w:rsidRDefault="00110DB8" w:rsidP="00110DB8" w:rsidR="00110DB8">
      <w:pPr>
        <w:spacing w:after="0"/>
        <w:jc w:val="both"/>
      </w:pPr>
    </w:p>
    <w:p w:rsidRDefault="00110DB8" w:rsidP="00110DB8" w:rsidR="00110DB8">
      <w:pPr>
        <w:spacing w:after="0"/>
        <w:jc w:val="both"/>
      </w:pPr>
    </w:p>
    <w:p w:rsidRDefault="003B2397" w:rsidP="003B2397" w:rsidR="003B2397">
      <w:pPr>
        <w:spacing w:after="0"/>
        <w:jc w:val="both"/>
      </w:pPr>
    </w:p>
    <w:p w:rsidRDefault="00470E8C" w:rsidP="00A2580C" w:rsidR="00A2580C">
      <w:r>
        <w:tab/>
      </w:r>
    </w:p>
    <w:p w:rsidRDefault="00A2580C" w:rsidP="00A2580C" w:rsidR="00A2580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NJ E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Visoki trgovački sud Republike Hrvatske, u vijeću sastavljenom od sudaca Branke </w:t>
      </w:r>
      <w:proofErr w:type="spellStart"/>
      <w:r>
        <w:rPr>
          <w:rFonts w:cs="Times New Roman" w:eastAsia="Times New Roman"/>
          <w:lang w:eastAsia="hr-HR"/>
        </w:rPr>
        <w:t>Šabarić</w:t>
      </w:r>
      <w:proofErr w:type="spellEnd"/>
      <w:r>
        <w:rPr>
          <w:rFonts w:cs="Times New Roman" w:eastAsia="Times New Roman"/>
          <w:lang w:eastAsia="hr-HR"/>
        </w:rPr>
        <w:t xml:space="preserve"> Zovko, predsjednice vijeća, Mirte Matić, sutkinje izvjestiteljice i Ružice </w:t>
      </w:r>
      <w:proofErr w:type="spellStart"/>
      <w:r>
        <w:rPr>
          <w:rFonts w:cs="Times New Roman" w:eastAsia="Times New Roman"/>
          <w:lang w:eastAsia="hr-HR"/>
        </w:rPr>
        <w:t>Omazić</w:t>
      </w:r>
      <w:proofErr w:type="spellEnd"/>
      <w:r>
        <w:rPr>
          <w:rFonts w:cs="Times New Roman" w:eastAsia="Times New Roman"/>
          <w:lang w:eastAsia="hr-HR"/>
        </w:rPr>
        <w:t xml:space="preserve">, članice vijeća, u </w:t>
      </w:r>
      <w:proofErr w:type="spellStart"/>
      <w:r>
        <w:rPr>
          <w:rFonts w:cs="Times New Roman" w:eastAsia="Times New Roman"/>
          <w:lang w:eastAsia="hr-HR"/>
        </w:rPr>
        <w:t>predstečajnom</w:t>
      </w:r>
      <w:proofErr w:type="spellEnd"/>
      <w:r>
        <w:rPr>
          <w:rFonts w:cs="Times New Roman" w:eastAsia="Times New Roman"/>
          <w:lang w:eastAsia="hr-HR"/>
        </w:rPr>
        <w:t xml:space="preserve"> postupku nad dužnikom VS GRADNJA d.o.o. za građevinarstvo, trgovinu i posredovanje iz Slatine, Nikole Šubića Zrinskog 28, OIB 16640403502, odlučujući o žalbi vjerovnika ZITEX d.o.o., Donji Miholjac, Vukovarska 12, OIB 91166929650, kojeg zastupa punomoćnik Marko Kuna, odvjetnik u Donjem Miholjcu, protiv rješenja Trgovačkog suda u Bjelovaru poslovni broj St-240/2017-107 od 18. srpnja 2018., u sjednici vijeća održanoj 5. rujna 2018.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Ukida se rješenje Trgovačkog suda u Bjelovaru poslovni broj St-240/2017-107 od 18. srpnja 2018. i predmet vraća prvostupanjskom sudu na ponovan postupak.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2580C" w:rsidP="00A2580C" w:rsidR="00A2580C">
      <w:pPr>
        <w:spacing w:after="0"/>
        <w:ind w:firstLine="708" w:left="354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Pobijanim rješenjem Trgovački sud u Bjelovaru odbio je prijedlog vjerovnika </w:t>
      </w:r>
      <w:proofErr w:type="spellStart"/>
      <w:r>
        <w:rPr>
          <w:rFonts w:cs="Times New Roman" w:eastAsia="Times New Roman"/>
          <w:lang w:eastAsia="hr-HR"/>
        </w:rPr>
        <w:t>Zitex</w:t>
      </w:r>
      <w:proofErr w:type="spellEnd"/>
      <w:r>
        <w:rPr>
          <w:rFonts w:cs="Times New Roman" w:eastAsia="Times New Roman"/>
          <w:lang w:eastAsia="hr-HR"/>
        </w:rPr>
        <w:t xml:space="preserve"> d.o.o., Donji Miholjac, za ispravkom sadržaja zapisnika o ročištu održanom 29. kolovoza 2017. na način da se u tablicu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prava upiše vjerovnik </w:t>
      </w:r>
      <w:proofErr w:type="spellStart"/>
      <w:r>
        <w:rPr>
          <w:rFonts w:cs="Times New Roman" w:eastAsia="Times New Roman"/>
          <w:lang w:eastAsia="hr-HR"/>
        </w:rPr>
        <w:t>Zitex</w:t>
      </w:r>
      <w:proofErr w:type="spellEnd"/>
      <w:r>
        <w:rPr>
          <w:rFonts w:cs="Times New Roman" w:eastAsia="Times New Roman"/>
          <w:lang w:eastAsia="hr-HR"/>
        </w:rPr>
        <w:t xml:space="preserve"> d.o.o., u visini njegove prijavljene tražbine, kao neosnovan.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obrazloženju rješenja sud navodi da je vjerovnik </w:t>
      </w:r>
      <w:proofErr w:type="spellStart"/>
      <w:r>
        <w:rPr>
          <w:rFonts w:cs="Times New Roman" w:eastAsia="Times New Roman"/>
          <w:lang w:eastAsia="hr-HR"/>
        </w:rPr>
        <w:t>Zitex</w:t>
      </w:r>
      <w:proofErr w:type="spellEnd"/>
      <w:r>
        <w:rPr>
          <w:rFonts w:cs="Times New Roman" w:eastAsia="Times New Roman"/>
          <w:lang w:eastAsia="hr-HR"/>
        </w:rPr>
        <w:t xml:space="preserve"> d.o.o.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pravo stekao nad imovinom dužnika koja ulazi u stečajnu masu, 17. svibnja 2017., rješenjem Općinskog suda u Virovitici, ZK odjel Slatina, poslovni broj Z-3799/2017. S obzirom na to da je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pravo stečeno nakon podnošenja prijedloga za otvaranje </w:t>
      </w:r>
      <w:proofErr w:type="spellStart"/>
      <w:r>
        <w:rPr>
          <w:rFonts w:cs="Times New Roman" w:eastAsia="Times New Roman"/>
          <w:lang w:eastAsia="hr-HR"/>
        </w:rPr>
        <w:t>predstečajnog</w:t>
      </w:r>
      <w:proofErr w:type="spellEnd"/>
      <w:r>
        <w:rPr>
          <w:rFonts w:cs="Times New Roman" w:eastAsia="Times New Roman"/>
          <w:lang w:eastAsia="hr-HR"/>
        </w:rPr>
        <w:t xml:space="preserve"> postupka nad dužnikom koji je podnijet sudu 29. ožujka 2017., a prije otvaranja </w:t>
      </w:r>
      <w:proofErr w:type="spellStart"/>
      <w:r>
        <w:rPr>
          <w:rFonts w:cs="Times New Roman" w:eastAsia="Times New Roman"/>
          <w:lang w:eastAsia="hr-HR"/>
        </w:rPr>
        <w:t>predstečajnog</w:t>
      </w:r>
      <w:proofErr w:type="spellEnd"/>
      <w:r>
        <w:rPr>
          <w:rFonts w:cs="Times New Roman" w:eastAsia="Times New Roman"/>
          <w:lang w:eastAsia="hr-HR"/>
        </w:rPr>
        <w:t xml:space="preserve"> postupka nad dužnikom koji je otvoren 14. lipnja 2017. sud je primjenom čl. 168. Stečajnog zakona („Narodne novine“ broj 71/15, dalje: SZ) ocijenio da je to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pravo prestalo. Zato je prijedlog vjerovnika radi uvrštavanja u tablicu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vjerovnika odbijen kao neosnovan.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Vjerovnik </w:t>
      </w:r>
      <w:proofErr w:type="spellStart"/>
      <w:r>
        <w:rPr>
          <w:rFonts w:cs="Times New Roman" w:eastAsia="Times New Roman"/>
          <w:lang w:eastAsia="hr-HR"/>
        </w:rPr>
        <w:t>Zitex</w:t>
      </w:r>
      <w:proofErr w:type="spellEnd"/>
      <w:r>
        <w:rPr>
          <w:rFonts w:cs="Times New Roman" w:eastAsia="Times New Roman"/>
          <w:lang w:eastAsia="hr-HR"/>
        </w:rPr>
        <w:t xml:space="preserve"> d.o.o., podnio je žalbu protiv rješenja zbog pogrešne primjene materijalnog prava, navodeći, u bitnome, da je sud pogrešno </w:t>
      </w:r>
      <w:proofErr w:type="spellStart"/>
      <w:r>
        <w:rPr>
          <w:rFonts w:cs="Times New Roman" w:eastAsia="Times New Roman"/>
          <w:lang w:eastAsia="hr-HR"/>
        </w:rPr>
        <w:t>primijeno</w:t>
      </w:r>
      <w:proofErr w:type="spellEnd"/>
      <w:r>
        <w:rPr>
          <w:rFonts w:cs="Times New Roman" w:eastAsia="Times New Roman"/>
          <w:lang w:eastAsia="hr-HR"/>
        </w:rPr>
        <w:t xml:space="preserve"> odredbu čl. 168. SZ-a kojom su propisane zakonske pretpostavke za prestanak </w:t>
      </w:r>
      <w:proofErr w:type="spellStart"/>
      <w:r>
        <w:rPr>
          <w:rFonts w:cs="Times New Roman" w:eastAsia="Times New Roman"/>
          <w:lang w:eastAsia="hr-HR"/>
        </w:rPr>
        <w:t>razlučnog</w:t>
      </w:r>
      <w:proofErr w:type="spellEnd"/>
      <w:r>
        <w:rPr>
          <w:rFonts w:cs="Times New Roman" w:eastAsia="Times New Roman"/>
          <w:lang w:eastAsia="hr-HR"/>
        </w:rPr>
        <w:t xml:space="preserve"> prava samo u slučaju otvaranja stečajnog postupka. S obzirom na to da u konkretnom slučaju nije otvoren stečajni postupak nije bilo zakonskih uvjeta odbiti prijedlog vjerovnika.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pravo nije prestalo otvaranjem </w:t>
      </w:r>
      <w:proofErr w:type="spellStart"/>
      <w:r>
        <w:rPr>
          <w:rFonts w:cs="Times New Roman" w:eastAsia="Times New Roman"/>
          <w:lang w:eastAsia="hr-HR"/>
        </w:rPr>
        <w:t>predstečajnog</w:t>
      </w:r>
      <w:proofErr w:type="spellEnd"/>
      <w:r>
        <w:rPr>
          <w:rFonts w:cs="Times New Roman" w:eastAsia="Times New Roman"/>
          <w:lang w:eastAsia="hr-HR"/>
        </w:rPr>
        <w:t xml:space="preserve"> postupka. Iako je žalitelj izjavio da će se kao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 sa svojim potraživanjem namiriti izvan </w:t>
      </w:r>
      <w:proofErr w:type="spellStart"/>
      <w:r>
        <w:rPr>
          <w:rFonts w:cs="Times New Roman" w:eastAsia="Times New Roman"/>
          <w:lang w:eastAsia="hr-HR"/>
        </w:rPr>
        <w:t>predstečajnog</w:t>
      </w:r>
      <w:proofErr w:type="spellEnd"/>
      <w:r>
        <w:rPr>
          <w:rFonts w:cs="Times New Roman" w:eastAsia="Times New Roman"/>
          <w:lang w:eastAsia="hr-HR"/>
        </w:rPr>
        <w:t xml:space="preserve"> postupka on nije uvršten u tablicu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prava.  </w:t>
      </w: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Odgovor na žalbu nije podnesen. 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je osnovana.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 je ispitano na temelju odredaba čl. 365. i čl. 381. Zakona o parničnom postupku („Narodne novine“ broj: 148/11-pročišćeni tekst, 25/13, 28/13 i 89/14, dalje: ZPP) u vezi s odredbom čl. 10. Stečajnog zakona („Narodne novine“ broj 71/15, dalje: SZ) u granicama dopuštenih žalbenih razloga, pazeći po službenoj dužnosti na bitne povrede odredaba parničnog postupka iz čl. 354. st. 2. t. 2., 4., 8., 9., 11., 13. i 14. ZPP-a, kao i na pravilnu primjenu materijalnog prava.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Pri donošenju pobijanog dijela rješenja prvostupanjski sud je pogrešno primijenio materijalno pravo, odredbu čl. 168. SZ-a posljedično čemu je propustio utvrditi odlučne činjenice.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preslikanog dijela spisa proizlazi da je u </w:t>
      </w:r>
      <w:proofErr w:type="spellStart"/>
      <w:r>
        <w:rPr>
          <w:rFonts w:cs="Times New Roman" w:eastAsia="Times New Roman"/>
          <w:lang w:eastAsia="hr-HR"/>
        </w:rPr>
        <w:t>predstečajnom</w:t>
      </w:r>
      <w:proofErr w:type="spellEnd"/>
      <w:r>
        <w:rPr>
          <w:rFonts w:cs="Times New Roman" w:eastAsia="Times New Roman"/>
          <w:lang w:eastAsia="hr-HR"/>
        </w:rPr>
        <w:t xml:space="preserve"> postupku nad dužnikom na ročištu 29. kolovoza 2017. utvrđeno da je vjerovnik </w:t>
      </w:r>
      <w:proofErr w:type="spellStart"/>
      <w:r>
        <w:rPr>
          <w:rFonts w:cs="Times New Roman" w:eastAsia="Times New Roman"/>
          <w:lang w:eastAsia="hr-HR"/>
        </w:rPr>
        <w:t>Zitex</w:t>
      </w:r>
      <w:proofErr w:type="spellEnd"/>
      <w:r>
        <w:rPr>
          <w:rFonts w:cs="Times New Roman" w:eastAsia="Times New Roman"/>
          <w:lang w:eastAsia="hr-HR"/>
        </w:rPr>
        <w:t xml:space="preserve"> d.o.o., prijavio tražbinu u ukupnom iznosu od 2.094.969,18 kn, a da su mu povjerenik i dužnik priznali tražbinu u iznosu od 1.407.622,51 kn dok su mu osporili tražbinu u iznosu od 687.346,67 kn. Slijedom navedenog, na navedenom ročištu je na temelju odredbe čl. 49. SZ-a sastavljena tablica ispitanih tablica i tablica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prava te je u odnosu na tog vjerovnika utvrđena tražbina u iznosu od 1.407.622,51 kn, dok je osporena tražbina u iznosu od 687.346,67 kn. Međutim, žalitelj nije uvršten u tablicu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vjerovnika.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Odredba čl. 168. st. 1. SZ-a glasi: </w:t>
      </w: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„Ako stečajni vjerovnik tijekom posljednjih 60 dana prije podnošenja prijedloga za otvaranje </w:t>
      </w:r>
      <w:proofErr w:type="spellStart"/>
      <w:r>
        <w:rPr>
          <w:rFonts w:cs="Times New Roman" w:eastAsia="Times New Roman"/>
          <w:lang w:eastAsia="hr-HR"/>
        </w:rPr>
        <w:t>predstečajnoga</w:t>
      </w:r>
      <w:proofErr w:type="spellEnd"/>
      <w:r>
        <w:rPr>
          <w:rFonts w:cs="Times New Roman" w:eastAsia="Times New Roman"/>
          <w:lang w:eastAsia="hr-HR"/>
        </w:rPr>
        <w:t xml:space="preserve"> postupka, odnosno ako nije podnesen prijedlog za otvaranje </w:t>
      </w:r>
      <w:proofErr w:type="spellStart"/>
      <w:r>
        <w:rPr>
          <w:rFonts w:cs="Times New Roman" w:eastAsia="Times New Roman"/>
          <w:lang w:eastAsia="hr-HR"/>
        </w:rPr>
        <w:t>predstečajnoga</w:t>
      </w:r>
      <w:proofErr w:type="spellEnd"/>
      <w:r>
        <w:rPr>
          <w:rFonts w:cs="Times New Roman" w:eastAsia="Times New Roman"/>
          <w:lang w:eastAsia="hr-HR"/>
        </w:rPr>
        <w:t xml:space="preserve"> postupka tijekom posljednjih 60 dana prije podnošenja prijedloga za otvaranje stečajnoga postupka ili nakon toga sudskom ili </w:t>
      </w:r>
      <w:proofErr w:type="spellStart"/>
      <w:r>
        <w:rPr>
          <w:rFonts w:cs="Times New Roman" w:eastAsia="Times New Roman"/>
          <w:lang w:eastAsia="hr-HR"/>
        </w:rPr>
        <w:t>izvansudskom</w:t>
      </w:r>
      <w:proofErr w:type="spellEnd"/>
      <w:r>
        <w:rPr>
          <w:rFonts w:cs="Times New Roman" w:eastAsia="Times New Roman"/>
          <w:lang w:eastAsia="hr-HR"/>
        </w:rPr>
        <w:t xml:space="preserve"> ovrhom ili prisilnim sudskim osiguranjem stekne koje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ili slično pravo koje ulazi u stečajnu masu, to pravo otvaranjem stečajnoga postupka prestaje, odnosno postupak u tijeku se obustavlja. Predmetna prava brisat će se iz javnih knjiga, upisnika i očevidnika u kojima se vode na temelju rješenja suda.“</w:t>
      </w: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Imajući u vidu da nad dužnikom nije otvoren stečajni već </w:t>
      </w:r>
      <w:proofErr w:type="spellStart"/>
      <w:r>
        <w:rPr>
          <w:rFonts w:cs="Times New Roman" w:eastAsia="Times New Roman"/>
          <w:lang w:eastAsia="hr-HR"/>
        </w:rPr>
        <w:t>predstečajni</w:t>
      </w:r>
      <w:proofErr w:type="spellEnd"/>
      <w:r>
        <w:rPr>
          <w:rFonts w:cs="Times New Roman" w:eastAsia="Times New Roman"/>
          <w:lang w:eastAsia="hr-HR"/>
        </w:rPr>
        <w:t xml:space="preserve"> postupak njegovo </w:t>
      </w:r>
      <w:proofErr w:type="spellStart"/>
      <w:r>
        <w:rPr>
          <w:rFonts w:cs="Times New Roman" w:eastAsia="Times New Roman"/>
          <w:lang w:eastAsia="hr-HR"/>
        </w:rPr>
        <w:t>razlučno</w:t>
      </w:r>
      <w:proofErr w:type="spellEnd"/>
      <w:r>
        <w:rPr>
          <w:rFonts w:cs="Times New Roman" w:eastAsia="Times New Roman"/>
          <w:lang w:eastAsia="hr-HR"/>
        </w:rPr>
        <w:t xml:space="preserve"> pravo nije prestalo, što žalitelj pravilno ukazuje žalbenim navodima.</w:t>
      </w: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na to da je sud zbog pogrešne primjene čl. 168. st. 1. SZ-a neosnovano odbio uvrstiti žalitelja u tablicu </w:t>
      </w:r>
      <w:proofErr w:type="spellStart"/>
      <w:r>
        <w:rPr>
          <w:rFonts w:cs="Times New Roman" w:eastAsia="Times New Roman"/>
          <w:lang w:eastAsia="hr-HR"/>
        </w:rPr>
        <w:t>razlučnih</w:t>
      </w:r>
      <w:proofErr w:type="spellEnd"/>
      <w:r>
        <w:rPr>
          <w:rFonts w:cs="Times New Roman" w:eastAsia="Times New Roman"/>
          <w:lang w:eastAsia="hr-HR"/>
        </w:rPr>
        <w:t xml:space="preserve"> prava, u daljnjem tijeku postupka sud će primjenom mjerodavne odredbe čl. 36. SZ-a i čl. 126. ZPP-a u vezi s čl. 10. SZ-a ponovno odlučiti o tom prijedlogu.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Zbog navedenog je na temelju odredbe čl. 380. t. 3. ZPP-a u vezi s odredbom čl. 10. SZ-a riješeno kao u izreci.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A2580C" w:rsidP="00A2580C" w:rsidR="00A2580C">
      <w:pPr>
        <w:spacing w:after="0"/>
        <w:ind w:firstLine="708" w:left="283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5. rujna 2018.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left="4963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Predsjednica vijeća</w:t>
      </w:r>
    </w:p>
    <w:p w:rsidRDefault="00A2580C" w:rsidP="00A2580C" w:rsidR="00A2580C">
      <w:pPr>
        <w:spacing w:after="0"/>
        <w:ind w:left="4963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Branka </w:t>
      </w:r>
      <w:proofErr w:type="spellStart"/>
      <w:r>
        <w:rPr>
          <w:rFonts w:cs="Times New Roman" w:eastAsia="Times New Roman"/>
          <w:lang w:eastAsia="hr-HR"/>
        </w:rPr>
        <w:t>Šabarić</w:t>
      </w:r>
      <w:proofErr w:type="spellEnd"/>
      <w:r>
        <w:rPr>
          <w:rFonts w:cs="Times New Roman" w:eastAsia="Times New Roman"/>
          <w:lang w:eastAsia="hr-HR"/>
        </w:rPr>
        <w:t xml:space="preserve"> Zovko, v. r.</w:t>
      </w:r>
    </w:p>
    <w:p w:rsidRDefault="00A2580C" w:rsidP="00A2580C" w:rsidR="00A2580C">
      <w:pPr>
        <w:spacing w:after="0"/>
        <w:ind w:left="4963"/>
        <w:jc w:val="center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ind w:left="4963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2580C" w:rsidP="00A2580C" w:rsidR="00A2580C">
      <w:pPr>
        <w:spacing w:after="0"/>
        <w:ind w:left="4963"/>
        <w:jc w:val="center"/>
      </w:pPr>
      <w:r>
        <w:t>Brankica Curman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both"/>
      </w:pPr>
      <w:r>
        <w:rPr>
          <w:rFonts w:cs="Times New Roman" w:eastAsia="Times New Roman"/>
          <w:lang w:eastAsia="hr-HR"/>
        </w:rPr>
        <w:t xml:space="preserve"> </w:t>
      </w: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80C" w:rsidP="00A2580C" w:rsidR="00A25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E8C" w:rsidP="00470E8C" w:rsidR="003B2397">
      <w:pPr>
        <w:tabs>
          <w:tab w:pos="2347" w:val="left"/>
          <w:tab w:pos="4536" w:val="center"/>
        </w:tabs>
        <w:spacing w:after="0"/>
      </w:pPr>
      <w:r>
        <w:tab/>
      </w:r>
    </w:p>
    <w:p w:rsidRDefault="003B2397" w:rsidP="003B2397" w:rsidR="003B2397">
      <w:pPr>
        <w:spacing w:after="0"/>
        <w:jc w:val="both"/>
      </w:pPr>
      <w:r>
        <w:tab/>
      </w:r>
    </w:p>
    <w:p w:rsidRDefault="003B2397" w:rsidP="00470E8C" w:rsidR="00470E8C">
      <w:pPr>
        <w:spacing w:after="0"/>
        <w:jc w:val="both"/>
      </w:pPr>
      <w:r>
        <w:tab/>
      </w:r>
    </w:p>
    <w:p w:rsidRDefault="009D02B7" w:rsidP="009D02B7" w:rsidR="009D02B7">
      <w:pPr>
        <w:jc w:val="right"/>
      </w:pPr>
    </w:p>
    <w:p w:rsidRDefault="009D02B7" w:rsidP="009D02B7" w:rsidR="009D02B7">
      <w:pPr>
        <w:jc w:val="center"/>
        <w:rPr>
          <w:b/>
        </w:rPr>
      </w:pPr>
    </w:p>
    <w:p w:rsidRDefault="009D02B7" w:rsidP="009D02B7" w:rsidR="009D02B7">
      <w:pPr>
        <w:jc w:val="center"/>
        <w:rPr>
          <w:b/>
        </w:rPr>
      </w:pPr>
    </w:p>
    <w:p w:rsidRDefault="009D02B7" w:rsidP="001327C9" w:rsidR="009D02B7">
      <w:r>
        <w:tab/>
      </w:r>
    </w:p>
    <w:p w:rsidRDefault="00110DB8" w:rsidP="00110DB8" w:rsidR="00110DB8">
      <w:pPr>
        <w:spacing w:after="0"/>
        <w:jc w:val="center"/>
      </w:pPr>
    </w:p>
    <w:sectPr w:rsidR="00110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029" w:rsidP="00BD5A69" w:rsidR="001C6029">
      <w:pPr>
        <w:spacing w:after="0"/>
      </w:pPr>
      <w:r>
        <w:separator/>
      </w:r>
    </w:p>
  </w:endnote>
  <w:endnote w:id="0" w:type="continuationSeparator">
    <w:p w:rsidRDefault="001C6029" w:rsidP="00BD5A69" w:rsidR="001C60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80C" w:rsidR="00A258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80C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80C" w:rsidR="00A258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029" w:rsidP="00BD5A69" w:rsidR="001C6029">
      <w:pPr>
        <w:spacing w:after="0"/>
      </w:pPr>
      <w:r>
        <w:separator/>
      </w:r>
    </w:p>
  </w:footnote>
  <w:footnote w:id="0" w:type="continuationSeparator">
    <w:p w:rsidRDefault="001C6029" w:rsidP="00BD5A69" w:rsidR="001C602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80C" w:rsidR="00A25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  <w:t xml:space="preserve"> </w:t>
    </w:r>
    <w:r w:rsidR="003B2397">
      <w:t xml:space="preserve">                                                                                                                                              </w:t>
    </w:r>
  </w:p>
  <w:p w:rsidRDefault="00A2580C" w:rsidP="00A2580C" w:rsidR="003B2397">
    <w:pPr>
      <w:tabs>
        <w:tab w:pos="1718" w:val="left"/>
      </w:tabs>
    </w:pPr>
    <w:r>
      <w:tab/>
      <w:t xml:space="preserve">                                                                             </w:t>
    </w:r>
    <w:r>
      <w:t xml:space="preserve">57 </w:t>
    </w:r>
    <w:proofErr w:type="spellStart"/>
    <w:r>
      <w:t>Pž</w:t>
    </w:r>
    <w:proofErr w:type="spellEnd"/>
    <w:r>
      <w:t>-5114/2018-2</w:t>
    </w:r>
  </w:p>
  <w:p w:rsidRDefault="00A2580C" w:rsidP="00A2580C" w:rsidR="00A2580C">
    <w:pPr>
      <w:tabs>
        <w:tab w:pos="1718" w:val="left"/>
      </w:tabs>
    </w:pPr>
  </w:p>
  <w:p w:rsidRDefault="00A2580C" w:rsidP="00A2580C" w:rsidR="00A2580C">
    <w:pPr>
      <w:tabs>
        <w:tab w:pos="1718" w:val="left"/>
      </w:tabs>
    </w:pP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80C" w:rsidR="00A258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439AE"/>
    <w:rsid w:val="000C3778"/>
    <w:rsid w:val="00110DB8"/>
    <w:rsid w:val="001327C9"/>
    <w:rsid w:val="00162C1B"/>
    <w:rsid w:val="001705BB"/>
    <w:rsid w:val="001C6029"/>
    <w:rsid w:val="001F6D10"/>
    <w:rsid w:val="00233ACE"/>
    <w:rsid w:val="002E6EBB"/>
    <w:rsid w:val="003B2397"/>
    <w:rsid w:val="003D0BF9"/>
    <w:rsid w:val="00470E8C"/>
    <w:rsid w:val="005474F3"/>
    <w:rsid w:val="006D7A34"/>
    <w:rsid w:val="00750B5C"/>
    <w:rsid w:val="00866008"/>
    <w:rsid w:val="00896057"/>
    <w:rsid w:val="009538B5"/>
    <w:rsid w:val="009D02B7"/>
    <w:rsid w:val="00A2580C"/>
    <w:rsid w:val="00BD5A69"/>
    <w:rsid w:val="00C22ACB"/>
    <w:rsid w:val="00CE72EB"/>
    <w:rsid w:val="00E75AF4"/>
    <w:rsid w:val="00E84FF3"/>
    <w:rsid w:val="00EE15DE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32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065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22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827</properties:Words>
  <properties:Characters>4717</properties:Characters>
  <properties:Lines>39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2018-10-05T06:02:00Z</dcterms:created>
  <dc:creator>Ljiljana Cafuk</dc:creator>
  <cp:lastModifiedBy>Dušanka Vidović</cp:lastModifiedBy>
  <dcterms:modified xmlns:xsi="http://www.w3.org/2001/XMLSchema-instance" xsi:type="dcterms:W3CDTF">2018-10-05T06:02:00Z</dcterms:modified>
  <cp:revision>2</cp:revision>
</cp:coreProperties>
</file>