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252a7" w14:paraId="22252a7" w:rsidRDefault="001F7A5B" w:rsidP="001F7A5B" w:rsidR="001F7A5B">
      <w:pPr>
        <w:spacing w:lineRule="auto" w:line="240" w:after="0"/>
        <w:jc w:val="both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1F7A5B" w:rsidP="001F7A5B" w:rsidR="001F7A5B">
      <w:pPr>
        <w:pStyle w:val="Zaglavlje"/>
        <w:rPr>
          <w:rFonts w:eastAsia="Calibri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t>Poslovni broj: 7 St-997/16-</w:t>
      </w:r>
    </w:p>
    <w:p w:rsidRDefault="001F7A5B" w:rsidP="001F7A5B" w:rsidR="001F7A5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F7A5B" w:rsidP="001F7A5B" w:rsidR="001F7A5B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  <w:lang w:eastAsia="hr-HR"/>
        </w:rPr>
        <w:t xml:space="preserve">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7A5B" w:rsidP="001F7A5B" w:rsidR="001F7A5B">
      <w:pPr>
        <w:spacing w:lineRule="auto" w:line="240" w:after="0" w:before="1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Republika Hrvatska</w:t>
      </w:r>
    </w:p>
    <w:p w:rsidRDefault="001F7A5B" w:rsidP="001F7A5B" w:rsidR="001F7A5B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Varaždinu</w:t>
      </w:r>
    </w:p>
    <w:p w:rsidRDefault="001F7A5B" w:rsidP="001F7A5B" w:rsidR="001F7A5B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Varaždin, Braće Radić 2</w:t>
      </w:r>
    </w:p>
    <w:p w:rsidRDefault="001F7A5B" w:rsidP="001F7A5B" w:rsidR="001F7A5B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Poslovni broj: 7 St-997/2016-80</w:t>
      </w:r>
    </w:p>
    <w:p w:rsidRDefault="001F7A5B" w:rsidP="001F7A5B" w:rsidR="001F7A5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PUBLIKA HRVATSKA</w:t>
      </w:r>
    </w:p>
    <w:p w:rsidRDefault="001F7A5B" w:rsidP="001F7A5B" w:rsidR="001F7A5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 J  E  Š  E  N  J  E</w:t>
      </w:r>
    </w:p>
    <w:p w:rsidRDefault="001F7A5B" w:rsidP="001F7A5B" w:rsidR="001F7A5B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1F7A5B" w:rsidP="001F7A5B" w:rsidR="001F7A5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Trgovački sud u Varaždinu, po sucu tog suda Mariji Levanić-Škerbić, u</w:t>
      </w:r>
      <w:r>
        <w:t xml:space="preserve"> </w:t>
      </w:r>
      <w:r>
        <w:rPr>
          <w:rFonts w:hAnsi="Times New Roman" w:ascii="Times New Roman"/>
          <w:sz w:val="24"/>
          <w:szCs w:val="24"/>
        </w:rPr>
        <w:t>stečajnom postupku nad stečajnim dužnikom CONING d.d. u stečaju Varaždin, Augusta Šenoe 4-6, OIB: 49557976962, 23. kolovoza 2018.,</w:t>
      </w:r>
    </w:p>
    <w:p w:rsidRDefault="001F7A5B" w:rsidP="001F7A5B" w:rsidR="001F7A5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  j e</w:t>
      </w:r>
    </w:p>
    <w:p w:rsidRDefault="001F7A5B" w:rsidP="001F7A5B" w:rsidR="001F7A5B">
      <w:pPr>
        <w:ind w:hanging="705" w:left="1413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ab/>
        <w:t xml:space="preserve">Stečajnoj upraviteljici Lidiji </w:t>
      </w:r>
      <w:proofErr w:type="spellStart"/>
      <w:r>
        <w:rPr>
          <w:rFonts w:hAnsi="Times New Roman" w:ascii="Times New Roman"/>
          <w:sz w:val="24"/>
          <w:szCs w:val="24"/>
        </w:rPr>
        <w:t>Lesar</w:t>
      </w:r>
      <w:proofErr w:type="spellEnd"/>
      <w:r>
        <w:rPr>
          <w:rFonts w:hAnsi="Times New Roman" w:ascii="Times New Roman"/>
          <w:sz w:val="24"/>
          <w:szCs w:val="24"/>
        </w:rPr>
        <w:t xml:space="preserve"> iz Čakovca, Travnička 26, određuje se jednokratna nagrada za poslove obavljene u prethodnom postupku u funkciji privremene stečajne upraviteljice u </w:t>
      </w:r>
      <w:r>
        <w:rPr>
          <w:rFonts w:hAnsi="Times New Roman" w:ascii="Times New Roman"/>
          <w:color w:val="000000"/>
          <w:sz w:val="24"/>
          <w:szCs w:val="24"/>
        </w:rPr>
        <w:t>iznosu od 20.000,00 kn i naknada troškova u iznosu od 1.244,00 kn.</w:t>
      </w:r>
    </w:p>
    <w:p w:rsidRDefault="001F7A5B" w:rsidP="001F7A5B" w:rsidR="001F7A5B">
      <w:pPr>
        <w:ind w:hanging="705" w:left="1413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ab/>
        <w:t>Ovlašćuje se stečajna upraviteljica sukladno točci I izreke raspolagati sa sredstvima na računu stečajnog dužnika.</w:t>
      </w:r>
    </w:p>
    <w:p w:rsidRDefault="001F7A5B" w:rsidP="001F7A5B" w:rsidR="001F7A5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1F7A5B" w:rsidP="001F7A5B" w:rsidR="001F7A5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Rješenjem poslovni broj 2 St-997/16-13 od 17. veljače 2017. imenovana je u ovome predmetu privremena stečajna upraviteljica Lidiji </w:t>
      </w:r>
      <w:proofErr w:type="spellStart"/>
      <w:r>
        <w:rPr>
          <w:rFonts w:hAnsi="Times New Roman" w:ascii="Times New Roman"/>
          <w:sz w:val="24"/>
          <w:szCs w:val="24"/>
        </w:rPr>
        <w:t>Lesar</w:t>
      </w:r>
      <w:proofErr w:type="spellEnd"/>
      <w:r>
        <w:rPr>
          <w:rFonts w:hAnsi="Times New Roman" w:ascii="Times New Roman"/>
          <w:sz w:val="24"/>
          <w:szCs w:val="24"/>
        </w:rPr>
        <w:t xml:space="preserve"> iz Čakovca, Travnička 26, koja je ispitala razloge za otvaranje stečajnog postupka nad dužnikom i stanje imovine dužnika, te sačinila izvješće o financijsko-gospodarskom stanju dužnika od 17. ožujka 2017. (listovi 367-376 spisa), te je pristupila na ročišta koja su održana tijekom prethodnog postupka.</w:t>
      </w:r>
    </w:p>
    <w:p w:rsidRDefault="001F7A5B" w:rsidP="001F7A5B" w:rsidR="001F7A5B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Podneskom od 17. kolovoza 2018. privremena stečajna upraviteljica (sada stečajna upraviteljica) zatražila je jednokratnu nagradu od 20.000,00 kn i naknadu troškova s osnova korištenja osobnog automobila tijekom prethodnog postupka u iznosu od 1.224,00 kn. Zahtjevu je priložila specifikaciju troškova, te putne naloge s putnim računima (listovi 884-898 spisa).</w:t>
      </w:r>
    </w:p>
    <w:p w:rsidRDefault="001F7A5B" w:rsidP="001F7A5B" w:rsidR="001F7A5B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F7A5B" w:rsidP="001F7A5B" w:rsidR="001F7A5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čl. 4. st. 1. i 2. Uredbe o kriterijima i načinu obračuna i plaćanja nagrada stečajnim upraviteljima („Narodne novine“ broj  105/15, dalje: Uredbe) privremenom stečajnom upravitelju pripada pravo na jednokratnu nagradu za poslove obavljene u prethodnom postupku u iznosu od 3.000,00 kuna do 20.000,00 kuna, a nagradu privremenom stečajnom upravitelju određuje sud vodeći računa o složenosti poslova koje je obavio.</w:t>
      </w:r>
    </w:p>
    <w:p w:rsidRDefault="001F7A5B" w:rsidP="001F7A5B" w:rsidR="001F7A5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čl. 94. st. 3. Stečajnog zakona („Narodne novine“ broj 71/15, dalje: SZ-a)</w:t>
      </w:r>
      <w:r>
        <w:t xml:space="preserve"> </w:t>
      </w:r>
      <w:r>
        <w:rPr>
          <w:rFonts w:hAnsi="Times New Roman" w:ascii="Times New Roman"/>
          <w:sz w:val="24"/>
          <w:szCs w:val="24"/>
        </w:rPr>
        <w:t>naknadu troškova rješenjem određuje sud na temelju pisanoga, obrazloženoga i dokumentiranoga izvješća stečajnoga upravitelja.</w:t>
      </w:r>
    </w:p>
    <w:p w:rsidRDefault="001F7A5B" w:rsidP="001F7A5B" w:rsidR="001F7A5B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Uzimajući u obzir poslove koje je privremena stečajna upraviteljica obavila, te radnje i mjere koje su poduzete od strane privremene stečajne upraviteljice, a što se vidi iz njenog izvješća i cjelokupnog činjeničnog stanja spisa,  sud je ocijenio osnovanim njezin zahtjev za jednokratnu nagradu od 20.000,00 kn.</w:t>
      </w:r>
    </w:p>
    <w:p w:rsidRDefault="001F7A5B" w:rsidP="001F7A5B" w:rsidR="001F7A5B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1F7A5B" w:rsidP="001F7A5B" w:rsidR="001F7A5B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Uvidom u priložene putne naloge utvrđeno je da su, s obzirom na to da stečajna upraviteljica ima prebivalište u Čakovcu, istoj nastali stvarni putni troškovi u ukupnom iznosu od 1.224,00 kn s osnova  korištenja osobnog vozila.</w:t>
      </w:r>
    </w:p>
    <w:p w:rsidRDefault="001F7A5B" w:rsidP="001F7A5B" w:rsidR="001F7A5B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1F7A5B" w:rsidP="001F7A5B" w:rsidR="001F7A5B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Temeljem svega navedenoga sud je primjenom čl. 94. SZ-a i čl. 4. st. 1. i 2. Uredbe riješio kao u izreci.</w:t>
      </w:r>
    </w:p>
    <w:p w:rsidRDefault="001F7A5B" w:rsidP="001F7A5B" w:rsidR="001F7A5B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F7A5B" w:rsidP="001F7A5B" w:rsidR="001F7A5B">
      <w:pPr>
        <w:spacing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Varaždinu 23. kolovoza 2018. </w:t>
      </w:r>
    </w:p>
    <w:p w:rsidRDefault="001F7A5B" w:rsidP="001F7A5B" w:rsidR="001F7A5B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1F7A5B" w:rsidP="001F7A5B" w:rsidR="001F7A5B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ab/>
        <w:t xml:space="preserve">           Sudac:</w:t>
      </w:r>
    </w:p>
    <w:p w:rsidRDefault="001F7A5B" w:rsidP="001F7A5B" w:rsidR="001F7A5B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1F7A5B" w:rsidP="001F7A5B" w:rsidR="001F7A5B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Marija Levanić-Škerbić, v.r.</w:t>
      </w:r>
    </w:p>
    <w:p w:rsidRDefault="001F7A5B" w:rsidP="001F7A5B" w:rsidR="001F7A5B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1F7A5B" w:rsidP="001F7A5B" w:rsidR="001F7A5B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1F7A5B" w:rsidP="001F7A5B" w:rsidR="001F7A5B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1F7A5B" w:rsidP="001F7A5B" w:rsidR="001F7A5B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1F7A5B" w:rsidP="001F7A5B" w:rsidR="001F7A5B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1F7A5B" w:rsidP="001F7A5B" w:rsidR="001F7A5B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1F7A5B" w:rsidP="001F7A5B" w:rsidR="001F7A5B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Protiv ovog rješenja pravo na žalbu imaju stečajni upravitelj i svaki stečajni vjerovnik. Rok za žalbu je osam dana od isteka osmog dana od objave rješenja na e-Oglasnoj ploči suda. Žalba se podnosi pisano u četiri (4) primjerka, putem ovog suda, a o žalbi odlučuje Visoki trgovački sud Republike Hrvatske u Zagrebu.</w:t>
      </w:r>
    </w:p>
    <w:p w:rsidRDefault="001F7A5B" w:rsidP="001F7A5B" w:rsidR="001F7A5B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1F7A5B" w:rsidP="001F7A5B" w:rsidR="001F7A5B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1F7A5B" w:rsidP="001F7A5B" w:rsidR="001F7A5B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stečajna upraviteljica, putem e-</w:t>
      </w:r>
      <w:proofErr w:type="spellStart"/>
      <w:r>
        <w:rPr>
          <w:rFonts w:hAnsi="Times New Roman" w:ascii="Times New Roman"/>
          <w:sz w:val="24"/>
          <w:szCs w:val="24"/>
        </w:rPr>
        <w:t>maila</w:t>
      </w:r>
      <w:proofErr w:type="spellEnd"/>
      <w:r>
        <w:rPr>
          <w:rFonts w:hAnsi="Times New Roman" w:ascii="Times New Roman"/>
          <w:sz w:val="24"/>
          <w:szCs w:val="24"/>
        </w:rPr>
        <w:t>,</w:t>
      </w:r>
    </w:p>
    <w:p w:rsidRDefault="001F7A5B" w:rsidP="001F7A5B" w:rsidR="001F7A5B">
      <w:pPr>
        <w:tabs>
          <w:tab w:pos="720" w:val="left"/>
        </w:tabs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 e- oglasna ploča </w:t>
      </w:r>
    </w:p>
    <w:p w:rsidRDefault="00AE649C" w:rsidP="001F7A5B" w:rsidR="00AE649C" w:rsidRPr="001F7A5B"/>
    <w:sectPr w:rsidSect="0032366B" w:rsidR="00AE649C" w:rsidRPr="001F7A5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1F7A5B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F7A5B"/>
    <w:rPr>
      <w:rFonts w:cs="Times New Roman" w:eastAsia="Calibri" w:hAnsi="Calibri" w:ascii="Calibri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lineRule="auto" w:line="240" w:after="240"/>
      <w:outlineLvl w:val="1"/>
    </w:pPr>
    <w:rPr>
      <w:rFonts w:cstheme="minorBidi" w:eastAsiaTheme="minorHAnsi" w:hAnsi="Times New Roman" w:asci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lineRule="auto" w:line="240"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</w:rPr>
  </w:style>
  <w:style w:styleId="Naslov5" w:type="paragraph">
    <w:name w:val="heading 5"/>
    <w:basedOn w:val="Normal"/>
    <w:next w:val="Normal"/>
    <w:link w:val="Naslov5Char"/>
    <w:rsid w:val="00EB0D4C"/>
    <w:pPr>
      <w:spacing w:lineRule="auto" w:line="240" w:after="0" w:before="120"/>
      <w:ind w:hanging="432" w:left="1008"/>
      <w:outlineLvl w:val="4"/>
    </w:pPr>
    <w:rPr>
      <w:rFonts w:cstheme="minorBidi" w:eastAsia="Times New Roman" w:hAnsi="Arial" w:ascii="Arial"/>
      <w:noProof/>
      <w:kern w:val="22"/>
      <w:szCs w:val="24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lineRule="auto" w:line="240" w:after="0" w:before="120"/>
      <w:ind w:hanging="432" w:left="1152"/>
      <w:outlineLvl w:val="5"/>
    </w:pPr>
    <w:rPr>
      <w:rFonts w:cstheme="minorBidi" w:eastAsia="Times New Roman" w:hAnsi="Arial" w:ascii="Arial"/>
      <w:i/>
      <w:noProof/>
      <w:kern w:val="22"/>
      <w:szCs w:val="24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lineRule="auto" w:line="240" w:after="0" w:before="120"/>
      <w:ind w:hanging="288" w:left="1296"/>
      <w:outlineLvl w:val="6"/>
    </w:pPr>
    <w:rPr>
      <w:rFonts w:cstheme="minorBidi" w:eastAsia="Times New Roman" w:hAnsi="Arial" w:ascii="Arial"/>
      <w:noProof/>
      <w:kern w:val="20"/>
      <w:szCs w:val="24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lineRule="auto" w:line="240" w:after="0" w:before="120"/>
      <w:ind w:hanging="432" w:left="1440"/>
      <w:outlineLvl w:val="7"/>
    </w:pPr>
    <w:rPr>
      <w:rFonts w:cstheme="minorBidi" w:eastAsia="Times New Roman" w:hAnsi="Arial" w:ascii="Arial"/>
      <w:i/>
      <w:noProof/>
      <w:kern w:val="20"/>
      <w:szCs w:val="24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lineRule="auto" w:line="240" w:after="0" w:before="120"/>
      <w:ind w:hanging="144" w:left="1584"/>
      <w:outlineLvl w:val="8"/>
    </w:pPr>
    <w:rPr>
      <w:rFonts w:cstheme="minorBidi" w:eastAsia="Times New Roman" w:hAnsi="Arial" w:ascii="Arial"/>
      <w:i/>
      <w:noProof/>
      <w:kern w:val="18"/>
      <w:sz w:val="18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cstheme="minorBidi" w:eastAsiaTheme="minorHAnsi" w:hAnsi="Times New Roman" w:ascii="Times New Roman"/>
      <w:caps/>
      <w:spacing w:val="100"/>
      <w:sz w:val="24"/>
      <w:szCs w:val="24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cstheme="minorBidi" w:eastAsiaTheme="minorHAnsi" w:hAnsi="Times New Roman" w:ascii="Times New Roman"/>
      <w:spacing w:val="100"/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eastAsiaTheme="minorHAnsi"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cstheme="minorBidi" w:eastAsiaTheme="minorHAnsi" w:hAnsi="Times New Roman" w:asci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cstheme="minorBidi" w:eastAsiaTheme="minorHAnsi" w:hAnsi="Times New Roman" w:ascii="Times New Roman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cstheme="minorBidi" w:eastAsiaTheme="minorHAnsi" w:hAnsi="Times New Roman" w:ascii="Times New Roman"/>
      <w:sz w:val="24"/>
      <w:szCs w:val="24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cstheme="minorBidi" w:eastAsiaTheme="minorHAnsi" w:hAnsi="Times New Roman" w:ascii="Times New Roman"/>
      <w:noProof/>
      <w:sz w:val="20"/>
      <w:szCs w:val="24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  <w:sz w:val="24"/>
      <w:szCs w:val="24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lineRule="auto" w:line="240" w:after="120" w:before="600"/>
    </w:pPr>
    <w:rPr>
      <w:rFonts w:cstheme="minorBidi" w:eastAsiaTheme="minorHAnsi" w:hAnsi="Times New Roman" w:ascii="Times New Roman"/>
      <w:b/>
      <w:cap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lineRule="auto" w:line="240" w:after="0" w:before="12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lineRule="auto" w:line="240" w:after="0" w:before="12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cstheme="minorBidi" w:eastAsiaTheme="minorHAnsi" w:hAnsi="Times New Roman" w:ascii="Times New Roman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lineRule="auto" w:line="240" w:after="280" w:before="200"/>
      <w:ind w:right="936" w:left="936"/>
    </w:pPr>
    <w:rPr>
      <w:rFonts w:cstheme="minorBidi" w:eastAsiaTheme="minorHAnsi" w:hAnsi="Times New Roman" w:ascii="Times New Roman"/>
      <w:b/>
      <w:bCs/>
      <w:i/>
      <w:iCs/>
      <w:color w:themeColor="accent1" w:val="4F81BD"/>
      <w:sz w:val="24"/>
      <w:szCs w:val="24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lineRule="auto" w:line="240" w:after="0" w:before="6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lineRule="auto" w:line="240" w:after="0" w:before="120"/>
    </w:pPr>
    <w:rPr>
      <w:rFonts w:cstheme="minorBidi" w:eastAsiaTheme="minorHAnsi" w:hAnsi="Times New Roman" w:ascii="Times New Roman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cstheme="minorBidi" w:eastAsiaTheme="minorHAnsi" w:hAnsi="Times New Roman" w:ascii="Times New Roman"/>
      <w:b/>
      <w:caps/>
      <w:spacing w:val="100"/>
      <w:sz w:val="24"/>
      <w:szCs w:val="24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lineRule="auto" w:line="240" w:afterAutospacing="true" w:after="100" w:beforeAutospacing="true" w:before="100"/>
    </w:pPr>
    <w:rPr>
      <w:rFonts w:cstheme="minorBidi" w:eastAsiaTheme="minorHAnsi" w:hAnsi="Times New Roman" w:ascii="Times New Roman"/>
      <w:sz w:val="24"/>
      <w:szCs w:val="24"/>
    </w:r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cstheme="minorBidi" w:eastAsiaTheme="minorHAnsi" w:hAnsi="Times New Roman" w:ascii="Times New Roman"/>
      <w:sz w:val="24"/>
      <w:szCs w:val="24"/>
    </w:rPr>
  </w:style>
  <w:style w:customStyle="true" w:styleId="Normal-NoSpace" w:type="paragraph">
    <w:name w:val="Normal-No Space"/>
    <w:basedOn w:val="Normal"/>
    <w:rsid w:val="00EB0D4C"/>
    <w:pPr>
      <w:spacing w:lineRule="auto" w:line="240" w:after="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lineRule="auto" w:line="240" w:after="0" w:before="12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lineRule="auto" w:line="240" w:after="0" w:before="12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lineRule="auto" w:line="240" w:after="0" w:before="12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lineRule="auto" w:line="240" w:after="0" w:before="12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lineRule="auto" w:line="240" w:after="0" w:before="12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lineRule="auto" w:line="240" w:after="0" w:before="12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lineRule="auto" w:line="240" w:after="240"/>
      <w:jc w:val="right"/>
    </w:pPr>
    <w:rPr>
      <w:rFonts w:cstheme="minorBidi" w:eastAsiaTheme="minorHAnsi" w:hAnsi="Times New Roman" w:ascii="Times New Roman"/>
      <w:noProof/>
      <w:sz w:val="24"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lineRule="auto" w:line="240" w:after="240"/>
    </w:pPr>
    <w:rPr>
      <w:rFonts w:cstheme="minorBidi" w:eastAsiaTheme="minorHAnsi" w:hAnsi="Times New Roman" w:ascii="Times New Roman"/>
      <w:i/>
      <w:iCs/>
      <w:color w:themeColor="text1" w:val="000000"/>
      <w:sz w:val="24"/>
      <w:szCs w:val="24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lineRule="auto" w:line="240" w:after="240"/>
    </w:pPr>
    <w:rPr>
      <w:rFonts w:cstheme="minorBidi" w:eastAsiaTheme="minorHAnsi"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lineRule="auto" w:line="240" w:after="0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cstheme="minorBidi" w:eastAsiaTheme="minorHAnsi"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cstheme="minorBidi" w:eastAsiaTheme="minorHAnsi" w:hAnsi="Times New Roman" w:ascii="Times New Roman"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cstheme="minorBidi" w:eastAsiaTheme="minorHAnsi" w:hAnsi="Times New Roman" w:ascii="Times New Roman"/>
      <w:sz w:val="24"/>
      <w:szCs w:val="24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lineRule="auto" w:line="240"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cstheme="minorBidi" w:eastAsiaTheme="minorHAnsi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 w:eastAsiaTheme="minorHAnsi" w:hAnsi="Times New Roman" w:ascii="Times New Roman"/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sz w:val="24"/>
      <w:szCs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 w:eastAsiaTheme="minorHAnsi"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cstheme="minorBidi" w:eastAsiaTheme="minorHAnsi" w:hAnsi="Times New Roman" w:ascii="Times New Roman"/>
      <w:sz w:val="24"/>
      <w:szCs w:val="24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sz w:val="24"/>
      <w:szCs w:val="24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eastAsiaTheme="minorHAnsi"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4"/>
      <w:szCs w:val="24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i/>
      <w:iCs/>
      <w:sz w:val="24"/>
      <w:szCs w:val="24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lineRule="auto" w:line="240" w:after="0"/>
    </w:pPr>
    <w:rPr>
      <w:rFonts w:eastAsiaTheme="minorHAnsi"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 w:eastAsiaTheme="minorHAnsi" w:hAnsi="Times New Roman" w:asci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cstheme="minorBidi" w:eastAsiaTheme="minorHAnsi" w:hAnsi="Times New Roman" w:asci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cstheme="minorBidi" w:eastAsiaTheme="minorHAnsi" w:hAnsi="Times New Roman" w:asci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cstheme="minorBidi" w:eastAsiaTheme="minorHAnsi" w:hAnsi="Times New Roman" w:asci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cstheme="minorBidi" w:eastAsiaTheme="minorHAnsi" w:hAnsi="Times New Roman" w:asci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cstheme="minorBidi" w:eastAsiaTheme="minorHAnsi" w:hAnsi="Times New Roman" w:asci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cstheme="minorBidi" w:eastAsiaTheme="minorHAnsi" w:hAnsi="Times New Roman" w:asci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cstheme="minorBidi" w:eastAsiaTheme="minorHAnsi" w:hAnsi="Times New Roman" w:asci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cstheme="minorBidi" w:eastAsiaTheme="minorHAnsi" w:hAnsi="Times New Roman" w:asci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lineRule="auto" w:line="240" w:after="0"/>
      <w:ind w:hanging="1134" w:left="1134"/>
    </w:pPr>
    <w:rPr>
      <w:rFonts w:cstheme="majorBidi" w:eastAsiaTheme="majorEastAsia" w:hAnsiTheme="majorHAnsi" w:asciiTheme="majorHAnsi"/>
      <w:sz w:val="24"/>
      <w:szCs w:val="24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cstheme="minorBidi" w:eastAsiaTheme="minorHAnsi" w:hAnsi="Times New Roman" w:ascii="Times New Roman"/>
      <w:sz w:val="24"/>
      <w:szCs w:val="24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4"/>
      <w:szCs w:val="24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lineRule="auto" w:line="240" w:after="0"/>
    </w:pPr>
    <w:rPr>
      <w:rFonts w:eastAsiaTheme="minorHAnsi"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sz w:val="24"/>
      <w:szCs w:val="24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cstheme="minorBidi" w:eastAsiaTheme="minorHAnsi" w:hAnsi="Times New Roman" w:ascii="Times New Roman"/>
      <w:sz w:val="24"/>
      <w:szCs w:val="24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 w:eastAsiaTheme="minorHAnsi" w:hAnsi="Times New Roman" w:asci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cstheme="minorBidi" w:eastAsiaTheme="minorHAnsi" w:hAnsi="Times New Roman" w:asci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cstheme="minorBidi" w:eastAsiaTheme="minorHAnsi" w:hAnsi="Times New Roman" w:asci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cstheme="minorBidi" w:eastAsiaTheme="minorHAnsi" w:hAnsi="Times New Roman" w:asci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cstheme="minorBidi" w:eastAsiaTheme="minorHAnsi" w:hAnsi="Times New Roman" w:asci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cstheme="minorBidi" w:eastAsiaTheme="minorHAnsi" w:hAnsi="Times New Roman" w:asci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cstheme="minorBidi" w:eastAsiaTheme="minorHAnsi" w:hAnsi="Times New Roman" w:asci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cstheme="minorBidi" w:eastAsiaTheme="minorHAnsi" w:hAnsi="Times New Roman" w:asci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cstheme="minorBidi" w:eastAsiaTheme="minorHAnsi" w:hAnsi="Times New Roman" w:asci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cstheme="minorBidi" w:eastAsiaTheme="minorHAnsi" w:hAnsi="Times New Roman" w:asci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cstheme="minorBidi" w:eastAsiaTheme="minorHAnsi" w:hAnsi="Times New Roman" w:ascii="Times New Roman"/>
      <w:sz w:val="20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hAnsi="Times New Roman" w:ascii="Times New Roman"/>
      <w:noProof/>
      <w:color w:val="000000"/>
      <w:sz w:val="24"/>
      <w:szCs w:val="24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hAnsi="Times New Roman" w:ascii="Times New Roman"/>
      <w:noProof/>
      <w:color w:val="000000"/>
      <w:sz w:val="24"/>
      <w:szCs w:val="24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hAnsi="Times New Roman" w:ascii="Times New Roman"/>
      <w:noProof/>
      <w:color w:val="000000"/>
      <w:sz w:val="24"/>
      <w:szCs w:val="24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hAnsi="Times New Roman" w:ascii="Times New Roman"/>
      <w:color w:val="000000"/>
      <w:sz w:val="24"/>
      <w:szCs w:val="24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hAnsi="Times New Roman" w:ascii="Times New Roman"/>
      <w:noProof/>
      <w:color w:val="000000"/>
      <w:sz w:val="24"/>
      <w:szCs w:val="24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cstheme="minorBidi" w:eastAsiaTheme="minorHAnsi" w:hAnsi="Times New Roman" w:ascii="Times New Roman"/>
      <w:sz w:val="24"/>
      <w:szCs w:val="24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cstheme="minorBidi" w:eastAsiaTheme="minorHAnsi" w:hAnsi="Times New Roman" w:ascii="Times New Roman"/>
      <w:sz w:val="24"/>
      <w:szCs w:val="24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F7A5B"/>
    <w:rPr>
      <w:rFonts w:ascii="Calibri" w:cs="Times New Roman" w:eastAsia="Calibri" w:hAnsi="Calibri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 w:line="240" w:lineRule="auto"/>
      <w:outlineLvl w:val="1"/>
    </w:pPr>
    <w:rPr>
      <w:rFonts w:ascii="Times New Roman" w:cstheme="minorBidi" w:eastAsiaTheme="minorHAnsi" w:hAns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 w:line="240" w:lineRule="auto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 w:line="240" w:lineRule="auto"/>
      <w:ind w:hanging="432" w:left="1008"/>
      <w:outlineLvl w:val="4"/>
    </w:pPr>
    <w:rPr>
      <w:rFonts w:ascii="Arial" w:cstheme="minorBidi" w:eastAsia="Times New Roman" w:hAnsi="Arial"/>
      <w:noProof/>
      <w:kern w:val="22"/>
      <w:szCs w:val="24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 w:line="240" w:lineRule="auto"/>
      <w:ind w:hanging="432" w:left="1152"/>
      <w:outlineLvl w:val="5"/>
    </w:pPr>
    <w:rPr>
      <w:rFonts w:ascii="Arial" w:cstheme="minorBidi" w:eastAsia="Times New Roman" w:hAnsi="Arial"/>
      <w:i/>
      <w:noProof/>
      <w:kern w:val="22"/>
      <w:szCs w:val="24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 w:line="240" w:lineRule="auto"/>
      <w:ind w:hanging="288" w:left="1296"/>
      <w:outlineLvl w:val="6"/>
    </w:pPr>
    <w:rPr>
      <w:rFonts w:ascii="Arial" w:cstheme="minorBidi" w:eastAsia="Times New Roman" w:hAnsi="Arial"/>
      <w:noProof/>
      <w:kern w:val="20"/>
      <w:szCs w:val="24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 w:line="240" w:lineRule="auto"/>
      <w:ind w:hanging="432" w:left="1440"/>
      <w:outlineLvl w:val="7"/>
    </w:pPr>
    <w:rPr>
      <w:rFonts w:ascii="Arial" w:cstheme="minorBidi" w:eastAsia="Times New Roman" w:hAnsi="Arial"/>
      <w:i/>
      <w:noProof/>
      <w:kern w:val="20"/>
      <w:szCs w:val="24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 w:line="240" w:lineRule="auto"/>
      <w:ind w:hanging="144" w:left="1584"/>
      <w:outlineLvl w:val="8"/>
    </w:pPr>
    <w:rPr>
      <w:rFonts w:ascii="Arial" w:cstheme="minorBidi" w:eastAsia="Times New Roman" w:hAnsi="Arial"/>
      <w:i/>
      <w:noProof/>
      <w:kern w:val="18"/>
      <w:sz w:val="18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ascii="Times New Roman" w:cstheme="minorBidi" w:eastAsiaTheme="minorHAnsi" w:hAnsi="Times New Roman"/>
      <w:caps/>
      <w:spacing w:val="100"/>
      <w:sz w:val="24"/>
      <w:szCs w:val="24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ascii="Times New Roman" w:cstheme="minorBidi" w:eastAsiaTheme="minorHAnsi" w:hAnsi="Times New Roman"/>
      <w:spacing w:val="100"/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eastAsiaTheme="minorHAns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ascii="Times New Roman" w:cstheme="minorBidi" w:eastAsiaTheme="minorHAnsi" w:hAns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ascii="Times New Roman" w:cstheme="minorBidi" w:eastAsiaTheme="minorHAnsi" w:hAnsi="Times New Roman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ascii="Times New Roman" w:cstheme="minorBidi" w:eastAsiaTheme="minorHAnsi" w:hAnsi="Times New Roman"/>
      <w:sz w:val="24"/>
      <w:szCs w:val="24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ascii="Times New Roman" w:cstheme="minorBidi" w:eastAsiaTheme="minorHAnsi" w:hAnsi="Times New Roman"/>
      <w:noProof/>
      <w:sz w:val="20"/>
      <w:szCs w:val="24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  <w:sz w:val="24"/>
      <w:szCs w:val="24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 w:line="240" w:lineRule="auto"/>
    </w:pPr>
    <w:rPr>
      <w:rFonts w:ascii="Times New Roman" w:cstheme="minorBidi" w:eastAsiaTheme="minorHAnsi" w:hAnsi="Times New Roman"/>
      <w:b/>
      <w:cap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ascii="Times New Roman" w:cstheme="minorBidi" w:eastAsiaTheme="minorHAnsi" w:hAnsi="Times New Roman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 w:line="240" w:lineRule="auto"/>
      <w:ind w:left="936" w:right="936"/>
    </w:pPr>
    <w:rPr>
      <w:rFonts w:ascii="Times New Roman" w:cstheme="minorBidi" w:eastAsiaTheme="minorHAnsi" w:hAnsi="Times New Roman"/>
      <w:b/>
      <w:bCs/>
      <w:i/>
      <w:iCs/>
      <w:color w:themeColor="accent1" w:val="4F81BD"/>
      <w:sz w:val="24"/>
      <w:szCs w:val="24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ascii="Times New Roman" w:cstheme="minorBidi" w:eastAsiaTheme="minorHAnsi" w:hAnsi="Times New Roman"/>
      <w:b/>
      <w:caps/>
      <w:spacing w:val="100"/>
      <w:sz w:val="24"/>
      <w:szCs w:val="24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 w:line="240" w:lineRule="auto"/>
    </w:pPr>
    <w:rPr>
      <w:rFonts w:ascii="Times New Roman" w:cstheme="minorBidi" w:eastAsiaTheme="minorHAnsi" w:hAnsi="Times New Roman"/>
      <w:sz w:val="24"/>
      <w:szCs w:val="24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ascii="Times New Roman" w:cstheme="minorBidi" w:eastAsiaTheme="minorHAnsi" w:hAnsi="Times New Roman"/>
      <w:sz w:val="24"/>
      <w:szCs w:val="24"/>
    </w:rPr>
  </w:style>
  <w:style w:customStyle="1" w:styleId="Normal-NoSpace" w:type="paragraph">
    <w:name w:val="Normal-No Space"/>
    <w:basedOn w:val="Normal"/>
    <w:rsid w:val="00EB0D4C"/>
    <w:pPr>
      <w:spacing w:after="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 w:line="240" w:lineRule="auto"/>
      <w:jc w:val="right"/>
    </w:pPr>
    <w:rPr>
      <w:rFonts w:ascii="Times New Roman" w:cstheme="minorBidi" w:eastAsiaTheme="minorHAnsi" w:hAnsi="Times New Roman"/>
      <w:noProof/>
      <w:sz w:val="24"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 w:line="240" w:lineRule="auto"/>
    </w:pPr>
    <w:rPr>
      <w:rFonts w:ascii="Times New Roman" w:cstheme="minorBidi" w:eastAsiaTheme="minorHAnsi" w:hAnsi="Times New Roman"/>
      <w:i/>
      <w:iCs/>
      <w:color w:themeColor="text1" w:val="000000"/>
      <w:sz w:val="24"/>
      <w:szCs w:val="24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 w:line="240" w:lineRule="auto"/>
    </w:pPr>
    <w:rPr>
      <w:rFonts w:asciiTheme="minorHAnsi" w:cstheme="minorBidi" w:eastAsia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 w:line="240" w:lineRule="auto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ascii="Times New Roman" w:cstheme="minorBidi" w:eastAsiaTheme="minorHAnsi" w:hAnsi="Times New Roman"/>
      <w:b/>
      <w:noProof/>
      <w:sz w:val="24"/>
      <w:szCs w:val="24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ascii="Times New Roman" w:cstheme="minorBidi" w:eastAsiaTheme="minorHAnsi" w:hAnsi="Times New Roman"/>
      <w:sz w:val="24"/>
      <w:szCs w:val="24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 w:line="240" w:lineRule="auto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cstheme="minorBidi" w:eastAsiaTheme="minorHAnsi" w:hAnsi="Times New Roman"/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sz w:val="24"/>
      <w:szCs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cstheme="minorBidi" w:eastAsiaTheme="minorHAnsi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cstheme="minorBidi" w:eastAsiaTheme="minorHAnsi" w:hAnsi="Times New Roman"/>
      <w:sz w:val="24"/>
      <w:szCs w:val="24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eastAsiaTheme="minorHAnsi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i/>
      <w:iCs/>
      <w:sz w:val="24"/>
      <w:szCs w:val="24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 w:line="240" w:lineRule="auto"/>
    </w:pPr>
    <w:rPr>
      <w:rFonts w:ascii="Consolas" w:cs="Consolas" w:eastAsiaTheme="minorHAnsi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cstheme="minorBidi" w:eastAsiaTheme="minorHAnsi" w:hAns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ascii="Times New Roman" w:cstheme="minorBidi" w:eastAsiaTheme="minorHAnsi" w:hAns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ascii="Times New Roman" w:cstheme="minorBidi" w:eastAsiaTheme="minorHAnsi" w:hAns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ascii="Times New Roman" w:cstheme="minorBidi" w:eastAsiaTheme="minorHAnsi" w:hAns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ascii="Times New Roman" w:cstheme="minorBidi" w:eastAsiaTheme="minorHAnsi" w:hAns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ascii="Times New Roman" w:cstheme="minorBidi" w:eastAsiaTheme="minorHAnsi" w:hAns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ascii="Times New Roman" w:cstheme="minorBidi" w:eastAsiaTheme="minorHAnsi" w:hAns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ascii="Times New Roman" w:cstheme="minorBidi" w:eastAsiaTheme="minorHAnsi" w:hAns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ascii="Times New Roman" w:cstheme="minorBidi" w:eastAsiaTheme="minorHAnsi" w:hAns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 w:line="240" w:lineRule="auto"/>
      <w:ind w:hanging="1134" w:left="1134"/>
    </w:pPr>
    <w:rPr>
      <w:rFonts w:asciiTheme="majorHAnsi" w:cstheme="majorBidi" w:eastAsiaTheme="majorEastAsia" w:hAnsiTheme="majorHAnsi"/>
      <w:sz w:val="24"/>
      <w:szCs w:val="24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 w:line="240" w:lineRule="auto"/>
    </w:pPr>
    <w:rPr>
      <w:rFonts w:ascii="Consolas" w:cs="Consolas" w:eastAsiaTheme="minorHAnsi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cstheme="minorBidi" w:eastAsiaTheme="minorHAnsi" w:hAnsi="Times New Roman"/>
      <w:sz w:val="24"/>
      <w:szCs w:val="24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cstheme="minorBidi" w:eastAsiaTheme="minorHAnsi" w:hAns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ascii="Times New Roman" w:cstheme="minorBidi" w:eastAsiaTheme="minorHAnsi" w:hAns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ascii="Times New Roman" w:cstheme="minorBidi" w:eastAsiaTheme="minorHAnsi" w:hAns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ascii="Times New Roman" w:cstheme="minorBidi" w:eastAsiaTheme="minorHAnsi" w:hAns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ascii="Times New Roman" w:cstheme="minorBidi" w:eastAsiaTheme="minorHAnsi" w:hAns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ascii="Times New Roman" w:cstheme="minorBidi" w:eastAsiaTheme="minorHAnsi" w:hAns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ascii="Times New Roman" w:cstheme="minorBidi" w:eastAsiaTheme="minorHAnsi" w:hAns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ascii="Times New Roman" w:cstheme="minorBidi" w:eastAsiaTheme="minorHAnsi" w:hAns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ascii="Times New Roman" w:cstheme="minorBidi" w:eastAsiaTheme="minorHAnsi" w:hAns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ascii="Times New Roman" w:cstheme="minorBidi" w:eastAsiaTheme="minorHAnsi" w:hAns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ascii="Times New Roman" w:cstheme="minorBidi" w:eastAsiaTheme="minorHAnsi" w:hAnsi="Times New Roman"/>
      <w:sz w:val="20"/>
      <w:szCs w:val="24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ascii="Times New Roman" w:hAnsi="Times New Roman"/>
      <w:noProof/>
      <w:color w:val="000000"/>
      <w:sz w:val="24"/>
      <w:szCs w:val="24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ascii="Times New Roman" w:hAnsi="Times New Roman"/>
      <w:noProof/>
      <w:color w:val="000000"/>
      <w:sz w:val="24"/>
      <w:szCs w:val="24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ascii="Times New Roman" w:hAnsi="Times New Roman"/>
      <w:noProof/>
      <w:color w:val="000000"/>
      <w:sz w:val="24"/>
      <w:szCs w:val="24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ascii="Times New Roman" w:hAnsi="Times New Roman"/>
      <w:color w:val="000000"/>
      <w:sz w:val="24"/>
      <w:szCs w:val="24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ascii="Times New Roman" w:hAnsi="Times New Roman"/>
      <w:noProof/>
      <w:color w:val="000000"/>
      <w:sz w:val="24"/>
      <w:szCs w:val="24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ascii="Times New Roman" w:cstheme="minorBidi" w:eastAsiaTheme="minorHAnsi" w:hAnsi="Times New Roman"/>
      <w:sz w:val="24"/>
      <w:szCs w:val="24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ascii="Times New Roman" w:cstheme="minorBidi" w:eastAsiaTheme="minorHAnsi" w:hAnsi="Times New Roman"/>
      <w:sz w:val="24"/>
      <w:szCs w:val="24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516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St-997/2016-80</izvorni_sadrzaj>
    <derivirana_varijabla naziv="DomainObject.Oznaka_1">St-997/2016-80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St-997/2016</izvorni_sadrzaj>
    <derivirana_varijabla naziv="DomainObject.Predmet.OznakaBroj_1">St-997/2016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CONING dioničko društvo za građenje, projektiranje, nadzor, inženjering, konzalting i turizam zastupanog po punomoćniku ODVJETNIČKO DRUŠTVO JELIĆ, ČAVLINA ZRINŠĆAK I SARDELIĆ društvo s ograničenom odgovornošću</izvorni_sadrzaj>
    <derivirana_varijabla naziv="DomainObject.Predmet.ProtustrankaFormated_1">  CONING dioničko društvo za građenje, projektiranje, nadzor, inženjering, konzalting i turizam zastupanog po punomoćniku ODVJETNIČKO DRUŠTVO JELIĆ, ČAVLINA ZRINŠĆAK I SARDELIĆ društvo s ograničenom odgovornošću</derivirana_varijabla>
  </DomainObject.Predmet.ProtustrankaFormated>
  <DomainObject.Predmet.ProtustrankaFormatedOIB>
    <izvorni_sadrzaj>  CONING dioničko društvo za građenje, projektiranje, nadzor, inženjering, konzalting i turizam, OIB 49557976962 zastupanog po punomoćniku ODVJETNIČKO DRUŠTVO JELIĆ, ČAVLINA ZRINŠĆAK I SARDELIĆ društvo s ograničenom odgovornošću</izvorni_sadrzaj>
    <derivirana_varijabla naziv="DomainObject.Predmet.ProtustrankaFormatedOIB_1">  CONING dioničko društvo za građenje, projektiranje, nadzor, inženjering, konzalting i turizam, OIB 49557976962 zastupanog po punomoćniku ODVJETNIČKO DRUŠTVO JELIĆ, ČAVLINA ZRINŠĆAK I SARDELIĆ društvo s ograničenom odgovornošću</derivirana_varijabla>
  </DomainObject.Predmet.ProtustrankaFormatedOIB>
  <DomainObject.Predmet.ProtustrankaFormatedWithAdress>
    <izvorni_sadrzaj> CONING dioničko društvo za građenje, projektiranje, nadzor, inženjering, konzalting i turizam, Augusta Šenoe 4/-6, 42000 Varaždin zastupanog po punomoćniku ODVJETNIČKO DRUŠTVO JELIĆ, ČAVLINA ZRINŠĆAK I SARDELIĆ društvo s ograničenom odgovornošću</izvorni_sadrzaj>
    <derivirana_varijabla naziv="DomainObject.Predmet.ProtustrankaFormatedWithAdress_1"> CONING dioničko društvo za građenje, projektiranje, nadzor, inženjering, konzalting i turizam, Augusta Šenoe 4/-6, 42000 Varaždin zastupanog po punomoćniku ODVJETNIČKO DRUŠTVO JELIĆ, ČAVLINA ZRINŠĆAK I SARDELIĆ društvo s ograničenom odgovornošću</derivirana_varijabla>
  </DomainObject.Predmet.ProtustrankaFormatedWithAdress>
  <DomainObject.Predmet.ProtustrankaFormatedWithAdressOIB>
    <izvorni_sadrzaj> CONING dioničko društvo za građenje, projektiranje, nadzor, inženjering, konzalting i turizam, OIB 49557976962, Augusta Šenoe 4/-6, 42000 Varaždin zastupanog po punomoćniku ODVJETNIČKO DRUŠTVO JELIĆ, ČAVLINA ZRINŠĆAK I SARDELIĆ društvo s ograničenom odgovornošću</izvorni_sadrzaj>
    <derivirana_varijabla naziv="DomainObject.Predmet.ProtustrankaFormatedWithAdressOIB_1"> CONING dioničko društvo za građenje, projektiranje, nadzor, inženjering, konzalting i turizam, OIB 49557976962, Augusta Šenoe 4/-6, 42000 Varaždin zastupanog po punomoćniku ODVJETNIČKO DRUŠTVO JELIĆ, ČAVLINA ZRINŠĆAK I SARDELIĆ društvo s ograničenom odgovornošću</derivirana_varijabla>
  </DomainObject.Predmet.ProtustrankaFormatedWithAdressOIB>
  <DomainObject.Predmet.ProtustrankaWithAdress>
    <izvorni_sadrzaj>CONING dioničko društvo za građenje, projektiranje, nadzor, inženjering, konzalting i turizam Augusta Šenoe 4/-6, 42000 Varaždin</izvorni_sadrzaj>
    <derivirana_varijabla naziv="DomainObject.Predmet.ProtustrankaWithAdress_1">CONING dioničko društvo za građenje, projektiranje, nadzor, inženjering, konzalting i turizam Augusta Šenoe 4/-6, 42000 Varaždin</derivirana_varijabla>
  </DomainObject.Predmet.ProtustrankaWithAdress>
  <DomainObject.Predmet.ProtustrankaWithAdressOIB>
    <izvorni_sadrzaj>CONING dioničko društvo za građenje, projektiranje, nadzor, inženjering, konzalting i turizam, OIB 49557976962, Augusta Šenoe 4/-6, 42000 Varaždin</izvorni_sadrzaj>
    <derivirana_varijabla naziv="DomainObject.Predmet.ProtustrankaWithAdressOIB_1">CONING dioničko društvo za građenje, projektiranje, nadzor, inženjering, konzalting i turizam, OIB 49557976962, Augusta Šenoe 4/-6, 42000 Varaždin</derivirana_varijabla>
  </DomainObject.Predmet.ProtustrankaWithAdressOIB>
  <DomainObject.Predmet.ProtustrankaNazivFormated>
    <izvorni_sadrzaj>CONING dioničko društvo za građenje, projektiranje, nadzor, inženjering, konzalting i turizam</izvorni_sadrzaj>
    <derivirana_varijabla naziv="DomainObject.Predmet.ProtustrankaNazivFormated_1">CONING dioničko društvo za građenje, projektiranje, nadzor, inženjering, konzalting i turizam</derivirana_varijabla>
  </DomainObject.Predmet.ProtustrankaNazivFormated>
  <DomainObject.Predmet.ProtustrankaNazivFormatedOIB>
    <izvorni_sadrzaj>CONING dioničko društvo za građenje, projektiranje, nadzor, inženjering, konzalting i turizam, OIB 49557976962</izvorni_sadrzaj>
    <derivirana_varijabla naziv="DomainObject.Predmet.ProtustrankaNazivFormatedOIB_1">CONING dioničko društvo za građenje, projektiranje, nadzor, inženjering, konzalting i turizam, OIB 49557976962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3893733.19</izvorni_sadrzaj>
    <derivirana_varijabla naziv="DomainObject.Predmet.TrenutnaVrijednost_1">3893733.19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CONING dioničko društvo za građenje, projektiranje, nadzor, inženjering, konzalting i turizam zastupanog po punomoćniku ODVJETNIČKO DRUŠTVO JELIĆ, ČAVLINA ZRINŠĆAK I SARDELIĆ društvo s ograničenom odgovornošću</item>
    </izvorni_sadrzaj>
    <derivirana_varijabla naziv="DomainObject.Predmet.ProtuStrankaListFormated_1">
      <item>CONING dioničko društvo za građenje, projektiranje, nadzor, inženjering, konzalting i turizam zastupanog po punomoćniku ODVJETNIČKO DRUŠTVO JELIĆ, ČAVLINA ZRINŠĆAK I SARDELIĆ društvo s ograničenom odgovornošću</item>
    </derivirana_varijabla>
  </DomainObject.Predmet.ProtuStrankaListFormated>
  <DomainObject.Predmet.ProtuStrankaListFormatedOIB>
    <izvorni_sadrzaj>
      <item>CONING dioničko društvo za građenje, projektiranje, nadzor, inženjering, konzalting i turizam, OIB 49557976962 zastupanog po punomoćniku ODVJETNIČKO DRUŠTVO JELIĆ, ČAVLINA ZRINŠĆAK I SARDELIĆ društvo s ograničenom odgovornošću</item>
    </izvorni_sadrzaj>
    <derivirana_varijabla naziv="DomainObject.Predmet.ProtuStrankaListFormatedOIB_1">
      <item>CONING dioničko društvo za građenje, projektiranje, nadzor, inženjering, konzalting i turizam, OIB 49557976962 zastupanog po punomoćniku ODVJETNIČKO DRUŠTVO JELIĆ, ČAVLINA ZRINŠĆAK I SARDELIĆ društvo s ograničenom odgovornošću</item>
    </derivirana_varijabla>
  </DomainObject.Predmet.ProtuStrankaListFormatedOIB>
  <DomainObject.Predmet.ProtuStrankaListFormatedWithAdress>
    <izvorni_sadrzaj>
      <item>CONING dioničko društvo za građenje, projektiranje, nadzor, inženjering, konzalting i turizam, Augusta Šenoe 4/-6, 42000 Varaždin zastupanog po punomoćniku ODVJETNIČKO DRUŠTVO JELIĆ, ČAVLINA ZRINŠĆAK I SARDELIĆ društvo s ograničenom odgovornošću</item>
    </izvorni_sadrzaj>
    <derivirana_varijabla naziv="DomainObject.Predmet.ProtuStrankaListFormatedWithAdress_1">
      <item>CONING dioničko društvo za građenje, projektiranje, nadzor, inženjering, konzalting i turizam, Augusta Šenoe 4/-6, 42000 Varaždin zastupanog po punomoćniku ODVJETNIČKO DRUŠTVO JELIĆ, ČAVLINA ZRINŠĆAK I SARDELIĆ društvo s ograničenom odgovornošću</item>
    </derivirana_varijabla>
  </DomainObject.Predmet.ProtuStrankaListFormatedWithAdress>
  <DomainObject.Predmet.ProtuStrankaListFormatedWithAdressOIB>
    <izvorni_sadrzaj>
      <item>CONING dioničko društvo za građenje, projektiranje, nadzor, inženjering, konzalting i turizam, OIB 49557976962, Augusta Šenoe 4/-6, 42000 Varaždin zastupanog po punomoćniku ODVJETNIČKO DRUŠTVO JELIĆ, ČAVLINA ZRINŠĆAK I SARDELIĆ društvo s ograničenom odgovornošću</item>
    </izvorni_sadrzaj>
    <derivirana_varijabla naziv="DomainObject.Predmet.ProtuStrankaListFormatedWithAdressOIB_1">
      <item>CONING dioničko društvo za građenje, projektiranje, nadzor, inženjering, konzalting i turizam, OIB 49557976962, Augusta Šenoe 4/-6, 42000 Varaždin zastupanog po punomoćniku ODVJETNIČKO DRUŠTVO JELIĆ, ČAVLINA ZRINŠĆAK I SARDELIĆ društvo s ograničenom odgovornošću</item>
    </derivirana_varijabla>
  </DomainObject.Predmet.ProtuStrankaListFormatedWithAdressOIB>
  <DomainObject.Predmet.ProtuStrankaListNazivFormated>
    <izvorni_sadrzaj>
      <item>CONING dioničko društvo za građenje, projektiranje, nadzor, inženjering, konzalting i turizam</item>
    </izvorni_sadrzaj>
    <derivirana_varijabla naziv="DomainObject.Predmet.ProtuStrankaListNazivFormated_1">
      <item>CONING dioničko društvo za građenje, projektiranje, nadzor, inženjering, konzalting i turizam</item>
    </derivirana_varijabla>
  </DomainObject.Predmet.ProtuStrankaListNazivFormated>
  <DomainObject.Predmet.ProtuStrankaListNazivFormatedOIB>
    <izvorni_sadrzaj>
      <item>CONING dioničko društvo za građenje, projektiranje, nadzor, inženjering, konzalting i turizam, OIB 49557976962</item>
    </izvorni_sadrzaj>
    <derivirana_varijabla naziv="DomainObject.Predmet.ProtuStrankaListNazivFormatedOIB_1">
      <item>CONING dioničko društvo za građenje, projektiranje, nadzor, inženjering, konzalting i turizam, OIB 49557976962</item>
    </derivirana_varijabla>
  </DomainObject.Predmet.ProtuStrankaListNazivFormatedOIB>
  <DomainObject.Predmet.OstaliListFormated>
    <izvorni_sadrzaj>
      <item>Sudski registar</item>
      <item>e-oglasna ploča</item>
      <item>Zvonko Hrain</item>
      <item>Vatroslav Vrdoljak</item>
      <item>ODVJETNIČKO DRUŠTVO JELIĆ, ČAVLINA ZRINŠĆAK I SARDELIĆ društvo s ograničenom odgovornošću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</item>
      <item>ZAGORJE-TEHNOBETON dioničko društvo za izvođenje svih vrsta građevinskih radova</item>
      <item>Sanja Smontara</item>
      <item>ZAGREBAČKI HOLDING, društvo s ograničenom odgovornošću za javni prijevoz, opskrbu vodom, održavanje čistoće, putnička a</item>
    </izvorni_sadrzaj>
    <derivirana_varijabla naziv="DomainObject.Predmet.OstaliListFormated_1">
      <item>Sudski registar</item>
      <item>e-oglasna ploča</item>
      <item>Zvonko Hrain</item>
      <item>Vatroslav Vrdoljak</item>
      <item>ODVJETNIČKO DRUŠTVO JELIĆ, ČAVLINA ZRINŠĆAK I SARDELIĆ društvo s ograničenom odgovornošću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</item>
      <item>ZAGORJE-TEHNOBETON dioničko društvo za izvođenje svih vrsta građevinskih radova</item>
      <item>Sanja Smontara</item>
      <item>ZAGREBAČKI HOLDING, društvo s ograničenom odgovornošću za javni prijevoz, opskrbu vodom, održavanje čistoće, putnička a</item>
    </derivirana_varijabla>
  </DomainObject.Predmet.OstaliListFormated>
  <DomainObject.Predmet.OstaliListFormatedOIB>
    <izvorni_sadrzaj>
      <item>Sudski registar</item>
      <item>e-oglasna ploča</item>
      <item>Zvonko Hrain, OIB 25731960062</item>
      <item>Vatroslav Vrdoljak, OIB 75796757952</item>
      <item>ODVJETNIČKO DRUŠTVO JELIĆ, ČAVLINA ZRINŠĆAK I SARDELIĆ društvo s ograničenom odgovornošću, OIB 21721282898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društvo, OIB 70140364776</item>
      <item>ZAGORJE-TEHNOBETON dioničko društvo za izvođenje svih vrsta građevinskih radova, OIB 68289504926</item>
      <item>Sanja Smontara, OIB 96202993496</item>
      <item>ZAGREBAČKI HOLDING, društvo s ograničenom odgovornošću za javni prijevoz, opskrbu vodom, održavanje čistoće, putnička a, OIB 85584865987</item>
    </izvorni_sadrzaj>
    <derivirana_varijabla naziv="DomainObject.Predmet.OstaliListFormatedOIB_1">
      <item>Sudski registar</item>
      <item>e-oglasna ploča</item>
      <item>Zvonko Hrain, OIB 25731960062</item>
      <item>Vatroslav Vrdoljak, OIB 75796757952</item>
      <item>ODVJETNIČKO DRUŠTVO JELIĆ, ČAVLINA ZRINŠĆAK I SARDELIĆ društvo s ograničenom odgovornošću, OIB 21721282898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društvo, OIB 70140364776</item>
      <item>ZAGORJE-TEHNOBETON dioničko društvo za izvođenje svih vrsta građevinskih radova, OIB 68289504926</item>
      <item>Sanja Smontara, OIB 96202993496</item>
      <item>ZAGREBAČKI HOLDING, društvo s ograničenom odgovornošću za javni prijevoz, opskrbu vodom, održavanje čistoće, putnička a, OIB 85584865987</item>
    </derivirana_varijabla>
  </DomainObject.Predmet.OstaliListFormatedOIB>
  <DomainObject.Predmet.OstaliListFormatedWithAdress>
    <izvorni_sadrzaj>
      <item>Sudski registar</item>
      <item>e-oglasna ploča</item>
      <item>Zvonko Hrain, Frana Supila 7 A, 42000 Varaždin</item>
      <item>Vatroslav Vrdoljak, Sviba 7, 10434 Strmec</item>
      <item>ODVJETNIČKO DRUŠTVO JELIĆ, ČAVLINA ZRINŠĆAK I SARDELIĆ društvo s ograničenom odgovornošću, Katančićeva 3, 10000 Zagreb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društvo, Vjekoslava Špinčića 78, 42000 Varaždin</item>
      <item>ZAGORJE-TEHNOBETON dioničko društvo za izvođenje svih vrsta građevinskih radova, Pavleka Miškine 49, 42000 Varaždin</item>
      <item>Sanja Smontara, Hrvatskih branitelja 1, 42000 Varaždin</item>
      <item>ZAGREBAČKI HOLDING, društvo s ograničenom odgovornošću za javni prijevoz, opskrbu vodom, održavanje čistoće, putnička a, Ulica grada Vukovara 41, 10000 Zagreb</item>
    </izvorni_sadrzaj>
    <derivirana_varijabla naziv="DomainObject.Predmet.OstaliListFormatedWithAdress_1">
      <item>Sudski registar</item>
      <item>e-oglasna ploča</item>
      <item>Zvonko Hrain, Frana Supila 7 A, 42000 Varaždin</item>
      <item>Vatroslav Vrdoljak, Sviba 7, 10434 Strmec</item>
      <item>ODVJETNIČKO DRUŠTVO JELIĆ, ČAVLINA ZRINŠĆAK I SARDELIĆ društvo s ograničenom odgovornošću, Katančićeva 3, 10000 Zagreb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društvo, Vjekoslava Špinčića 78, 42000 Varaždin</item>
      <item>ZAGORJE-TEHNOBETON dioničko društvo za izvođenje svih vrsta građevinskih radova, Pavleka Miškine 49, 42000 Varaždin</item>
      <item>Sanja Smontara, Hrvatskih branitelja 1, 42000 Varaždin</item>
      <item>ZAGREBAČKI HOLDING, društvo s ograničenom odgovornošću za javni prijevoz, opskrbu vodom, održavanje čistoće, putnička a, Ulica grada Vukovara 41, 10000 Zagreb</item>
    </derivirana_varijabla>
  </DomainObject.Predmet.OstaliListFormatedWithAdress>
  <DomainObject.Predmet.OstaliListFormatedWithAdressOIB>
    <izvorni_sadrzaj>
      <item>Sudski registar</item>
      <item>e-oglasna ploča</item>
      <item>Zvonko Hrain, OIB 25731960062, Frana Supila 7 A, 42000 Varaždin</item>
      <item>Vatroslav Vrdoljak, OIB 75796757952, Sviba 7, 10434 Strmec</item>
      <item>ODVJETNIČKO DRUŠTVO JELIĆ, ČAVLINA ZRINŠĆAK I SARDELIĆ društvo s ograničenom odgovornošću, OIB 21721282898, Katančićeva 3, 10000 Zagreb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društvo, OIB 70140364776, Vjekoslava Špinčića 78, 42000 Varaždin</item>
      <item>ZAGORJE-TEHNOBETON dioničko društvo za izvođenje svih vrsta građevinskih radova, OIB 68289504926, Pavleka Miškine 49, 42000 Varaždin</item>
      <item>Sanja Smontara, OIB 96202993496, Hrvatskih branitelja 1, 42000 Varaždin</item>
      <item>ZAGREBAČKI HOLDING, društvo s ograničenom odgovornošću za javni prijevoz, opskrbu vodom, održavanje čistoće, putnička a, OIB 85584865987, Ulica grada Vukovara 41, 10000 Zagreb</item>
    </izvorni_sadrzaj>
    <derivirana_varijabla naziv="DomainObject.Predmet.OstaliListFormatedWithAdressOIB_1">
      <item>Sudski registar</item>
      <item>e-oglasna ploča</item>
      <item>Zvonko Hrain, OIB 25731960062, Frana Supila 7 A, 42000 Varaždin</item>
      <item>Vatroslav Vrdoljak, OIB 75796757952, Sviba 7, 10434 Strmec</item>
      <item>ODVJETNIČKO DRUŠTVO JELIĆ, ČAVLINA ZRINŠĆAK I SARDELIĆ društvo s ograničenom odgovornošću, OIB 21721282898, Katančićeva 3, 10000 Zagreb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društvo, OIB 70140364776, Vjekoslava Špinčića 78, 42000 Varaždin</item>
      <item>ZAGORJE-TEHNOBETON dioničko društvo za izvođenje svih vrsta građevinskih radova, OIB 68289504926, Pavleka Miškine 49, 42000 Varaždin</item>
      <item>Sanja Smontara, OIB 96202993496, Hrvatskih branitelja 1, 42000 Varaždin</item>
      <item>ZAGREBAČKI HOLDING, društvo s ograničenom odgovornošću za javni prijevoz, opskrbu vodom, održavanje čistoće, putnička a, OIB 85584865987, Ulica grada Vukovara 41, 10000 Zagreb</item>
    </derivirana_varijabla>
  </DomainObject.Predmet.OstaliListFormatedWithAdressOIB>
  <DomainObject.Predmet.OstaliListNazivFormated>
    <izvorni_sadrzaj>
      <item>Sudski registar</item>
      <item>e-oglasna ploča</item>
      <item>Zvonko Hrain</item>
      <item>Vatroslav Vrdoljak</item>
      <item>ODVJETNIČKO DRUŠTVO JELIĆ, ČAVLINA ZRINŠĆAK I SARDELIĆ društvo s ograničenom odgovornošću</item>
      <item>VLATKA BRATIĆ</item>
      <item>Županijsko državno odvjetništvo u Varaždinu</item>
      <item>Termoplin dioničko društvo</item>
      <item>ZAGORJE-TEHNOBETON dioničko društvo za izvođenje svih vrsta građevinskih radova</item>
      <item>Sanja Smontara</item>
      <item>ZAGREBAČKI HOLDING, društvo s ograničenom odgovornošću za javni prijevoz, opskrbu vodom, održavanje čistoće, putnička a</item>
    </izvorni_sadrzaj>
    <derivirana_varijabla naziv="DomainObject.Predmet.OstaliListNazivFormated_1">
      <item>Sudski registar</item>
      <item>e-oglasna ploča</item>
      <item>Zvonko Hrain</item>
      <item>Vatroslav Vrdoljak</item>
      <item>ODVJETNIČKO DRUŠTVO JELIĆ, ČAVLINA ZRINŠĆAK I SARDELIĆ društvo s ograničenom odgovornošću</item>
      <item>VLATKA BRATIĆ</item>
      <item>Županijsko državno odvjetništvo u Varaždinu</item>
      <item>Termoplin dioničko društvo</item>
      <item>ZAGORJE-TEHNOBETON dioničko društvo za izvođenje svih vrsta građevinskih radova</item>
      <item>Sanja Smontara</item>
      <item>ZAGREBAČKI HOLDING, društvo s ograničenom odgovornošću za javni prijevoz, opskrbu vodom, održavanje čistoće, putnička a</item>
    </derivirana_varijabla>
  </DomainObject.Predmet.OstaliListNazivFormated>
  <DomainObject.Predmet.OstaliListNazivFormatedOIB>
    <izvorni_sadrzaj>
      <item>Sudski registar</item>
      <item>e-oglasna ploča</item>
      <item>Zvonko Hrain, OIB 25731960062</item>
      <item>Vatroslav Vrdoljak, OIB 75796757952</item>
      <item>ODVJETNIČKO DRUŠTVO JELIĆ, ČAVLINA ZRINŠĆAK I SARDELIĆ društvo s ograničenom odgovornošću, OIB 21721282898</item>
      <item>VLATKA BRATIĆ</item>
      <item>Županijsko državno odvjetništvo u Varaždinu</item>
      <item>Termoplin dioničko društvo, OIB 70140364776</item>
      <item>ZAGORJE-TEHNOBETON dioničko društvo za izvođenje svih vrsta građevinskih radova, OIB 68289504926</item>
      <item>Sanja Smontara, OIB 96202993496</item>
      <item>ZAGREBAČKI HOLDING, društvo s ograničenom odgovornošću za javni prijevoz, opskrbu vodom, održavanje čistoće, putnička a, OIB 85584865987</item>
    </izvorni_sadrzaj>
    <derivirana_varijabla naziv="DomainObject.Predmet.OstaliListNazivFormatedOIB_1">
      <item>Sudski registar</item>
      <item>e-oglasna ploča</item>
      <item>Zvonko Hrain, OIB 25731960062</item>
      <item>Vatroslav Vrdoljak, OIB 75796757952</item>
      <item>ODVJETNIČKO DRUŠTVO JELIĆ, ČAVLINA ZRINŠĆAK I SARDELIĆ društvo s ograničenom odgovornošću, OIB 21721282898</item>
      <item>VLATKA BRATIĆ</item>
      <item>Županijsko državno odvjetništvo u Varaždinu</item>
      <item>Termoplin dioničko društvo, OIB 70140364776</item>
      <item>ZAGORJE-TEHNOBETON dioničko društvo za izvođenje svih vrsta građevinskih radova, OIB 68289504926</item>
      <item>Sanja Smontara, OIB 96202993496</item>
      <item>ZAGREBAČKI HOLDING, društvo s ograničenom odgovornošću za javni prijevoz, opskrbu vodom, održavanje čistoće, putnička a, OIB 85584865987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>St-997/2016-80</izvorni_sadrzaj>
    <derivirana_varijabla naziv="DomainObject.PoslovniBrojDokumenta_1">St-997/2016-80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CONING dioničko društvo za građenje, projektiranje, nadzor, inženjering, konzalting i turizam</izvorni_sadrzaj>
    <derivirana_varijabla naziv="DomainObject.Predmet.ProtustrankaIDrugi_1">CONING dioničko društvo za građenje, projektiranje, nadzor, inženjering, konzalting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CONING dioničko društvo za građenje, projektiranje, nadzor, inženjering, konzalting i turizam, OIB 49557976962, Augusta Šenoe 4/-6, 42000 Varaždin</izvorni_sadrzaj>
    <derivirana_varijabla naziv="DomainObject.Predmet.ProtustrankaIDrugiAdressOIB_1">CONING dioničko društvo za građenje, projektiranje, nadzor, inženjering, konzalting i turizam, OIB 49557976962, Augusta Šenoe 4/-6,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CONING dioničko društvo za građenje, projektiranje, nadzor, inženjering, konzalting i turizam</item>
      <item>Sudski registar</item>
      <item>e-oglasna ploča</item>
      <item>Zvonko Hrain</item>
      <item>Vatroslav Vrdoljak</item>
      <item>ODVJETNIČKO DRUŠTVO JELIĆ, ČAVLINA ZRINŠĆAK I SARDELIĆ društvo s ograničenom odgovornošću</item>
      <item>VLATKA BRATIĆ</item>
      <item>Županijsko državno odvjetništvo u Varaždinu</item>
      <item>Termoplin dioničko društvo</item>
      <item>ZAGORJE-TEHNOBETON dioničko društvo za izvođenje svih vrsta građevinskih radova</item>
      <item>Sanja Smontara</item>
      <item>ZAGREBAČKI HOLDING, društvo s ograničenom odgovornošću za javni prijevoz, opskrbu vodom, održavanje čistoće, putnička a</item>
    </izvorni_sadrzaj>
    <derivirana_varijabla naziv="DomainObject.Predmet.SudioniciListNaziv_1">
      <item>Financijska agencija</item>
      <item>CONING dioničko društvo za građenje, projektiranje, nadzor, inženjering, konzalting i turizam</item>
      <item>Sudski registar</item>
      <item>e-oglasna ploča</item>
      <item>Zvonko Hrain</item>
      <item>Vatroslav Vrdoljak</item>
      <item>ODVJETNIČKO DRUŠTVO JELIĆ, ČAVLINA ZRINŠĆAK I SARDELIĆ društvo s ograničenom odgovornošću</item>
      <item>VLATKA BRATIĆ</item>
      <item>Županijsko državno odvjetništvo u Varaždinu</item>
      <item>Termoplin dioničko društvo</item>
      <item>ZAGORJE-TEHNOBETON dioničko društvo za izvođenje svih vrsta građevinskih radova</item>
      <item>Sanja Smontara</item>
      <item>ZAGREBAČKI HOLDING, društvo s ograničenom odgovornošću za javni prijevoz, opskrbu vodom, održavanje čistoće, putnička a</item>
    </derivirana_varijabla>
  </DomainObject.Predmet.SudioniciListNaziv>
  <DomainObject.Predmet.SudioniciListAdressOIB>
    <izvorni_sadrzaj>
      <item>Financijska agencija, OIB 85821130368, Ulica grada Vukovara 70,10000 Zagreb</item>
      <item>CONING dioničko društvo za građenje, projektiranje, nadzor, inženjering, konzalting i turizam, OIB 49557976962, Augusta Šenoe 4/-6,42000 Varaždin</item>
      <item>Sudski registar</item>
      <item>e-oglasna ploča</item>
      <item>Zvonko Hrain, OIB 25731960062, Frana Supila 7 A,42000 Varaždin</item>
      <item>Vatroslav Vrdoljak, OIB 75796757952, Sviba 7,10434 Strmec</item>
      <item>ODVJETNIČKO DRUŠTVO JELIĆ, ČAVLINA ZRINŠĆAK I SARDELIĆ društvo s ograničenom odgovornošću, OIB 21721282898, Katančićeva 3,10000 Zagreb</item>
      <item>VLATKA BRATIĆ</item>
      <item>Županijsko državno odvjetništvo u Varaždinu</item>
      <item>Termoplin dioničko društvo, OIB 70140364776, Vjekoslava Špinčića 78,42000 Varaždin</item>
      <item>ZAGORJE-TEHNOBETON dioničko društvo za izvođenje svih vrsta građevinskih radova, OIB 68289504926, Pavleka Miškine 49,42000 Varaždin</item>
      <item>Sanja Smontara, OIB 96202993496, Hrvatskih branitelja 1,42000 Varaždin</item>
      <item>ZAGREBAČKI HOLDING, društvo s ograničenom odgovornošću za javni prijevoz, opskrbu vodom, održavanje čistoće, putnička a, OIB 85584865987, Ulica grada Vukovara 41,10000 Zagreb</item>
    </izvorni_sadrzaj>
    <derivirana_varijabla naziv="DomainObject.Predmet.SudioniciListAdressOIB_1">
      <item>Financijska agencija, OIB 85821130368, Ulica grada Vukovara 70,10000 Zagreb</item>
      <item>CONING dioničko društvo za građenje, projektiranje, nadzor, inženjering, konzalting i turizam, OIB 49557976962, Augusta Šenoe 4/-6,42000 Varaždin</item>
      <item>Sudski registar</item>
      <item>e-oglasna ploča</item>
      <item>Zvonko Hrain, OIB 25731960062, Frana Supila 7 A,42000 Varaždin</item>
      <item>Vatroslav Vrdoljak, OIB 75796757952, Sviba 7,10434 Strmec</item>
      <item>ODVJETNIČKO DRUŠTVO JELIĆ, ČAVLINA ZRINŠĆAK I SARDELIĆ društvo s ograničenom odgovornošću, OIB 21721282898, Katančićeva 3,10000 Zagreb</item>
      <item>VLATKA BRATIĆ</item>
      <item>Županijsko državno odvjetništvo u Varaždinu</item>
      <item>Termoplin dioničko društvo, OIB 70140364776, Vjekoslava Špinčića 78,42000 Varaždin</item>
      <item>ZAGORJE-TEHNOBETON dioničko društvo za izvođenje svih vrsta građevinskih radova, OIB 68289504926, Pavleka Miškine 49,42000 Varaždin</item>
      <item>Sanja Smontara, OIB 96202993496, Hrvatskih branitelja 1,42000 Varaždin</item>
      <item>ZAGREBAČKI HOLDING, društvo s ograničenom odgovornošću za javni prijevoz, opskrbu vodom, održavanje čistoće, putnička a, OIB 85584865987, Ulica grada Vukovara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319312-8C60-495A-93BB-FFCBBC7CF1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2853</properties:Characters>
  <properties:Lines>73</properties:Lines>
  <properties:Paragraphs>28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2018-08-23T08:58:00Z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St-997/2016-80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