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1ae0" w14:paraId="7361ae0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8B2F97" w:rsidP="00853254" w:rsidR="008B2F97">
      <w:pPr>
        <w:jc w:val="right"/>
        <w:rPr>
          <w:b/>
          <w:sz w:val="24"/>
          <w:szCs w:val="24"/>
          <w:lang w:val="hr-HR"/>
        </w:rPr>
      </w:pP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Posl. br. 18 St-</w:t>
      </w:r>
      <w:r w:rsidR="008B2F97">
        <w:rPr>
          <w:b/>
          <w:sz w:val="24"/>
          <w:szCs w:val="24"/>
          <w:lang w:val="hr-HR"/>
        </w:rPr>
        <w:t>1856</w:t>
      </w:r>
      <w:r w:rsidR="00FB60A1" w:rsidRPr="00B46E8A">
        <w:rPr>
          <w:b/>
          <w:sz w:val="24"/>
          <w:szCs w:val="24"/>
          <w:lang w:val="hr-HR"/>
        </w:rPr>
        <w:t>/201</w:t>
      </w:r>
      <w:r w:rsidR="00BD16CE">
        <w:rPr>
          <w:b/>
          <w:sz w:val="24"/>
          <w:szCs w:val="24"/>
          <w:lang w:val="hr-HR"/>
        </w:rPr>
        <w:t>6</w:t>
      </w:r>
      <w:r w:rsidR="008B2F97">
        <w:rPr>
          <w:b/>
          <w:sz w:val="24"/>
          <w:szCs w:val="24"/>
          <w:lang w:val="hr-HR"/>
        </w:rPr>
        <w:t>-27</w:t>
      </w:r>
    </w:p>
    <w:p w:rsidRDefault="001A5BED" w:rsidP="00B46E8A" w:rsidR="001A5BED">
      <w:pPr>
        <w:pStyle w:val="Naslov1"/>
        <w:jc w:val="left"/>
        <w:rPr>
          <w:szCs w:val="24"/>
        </w:rPr>
      </w:pPr>
    </w:p>
    <w:p w:rsidRDefault="008B2F97" w:rsidP="008B2F97" w:rsidR="008B2F97">
      <w:pPr>
        <w:rPr>
          <w:lang w:val="hr-HR"/>
        </w:rPr>
      </w:pPr>
    </w:p>
    <w:p w:rsidRDefault="008B2F97" w:rsidP="008B2F97" w:rsidR="008B2F97">
      <w:pPr>
        <w:rPr>
          <w:lang w:val="hr-HR"/>
        </w:rPr>
      </w:pPr>
    </w:p>
    <w:p w:rsidRDefault="008B2F97" w:rsidP="008B2F97" w:rsidR="008B2F97">
      <w:pPr>
        <w:rPr>
          <w:lang w:val="hr-HR"/>
        </w:rPr>
      </w:pPr>
    </w:p>
    <w:p w:rsidRDefault="008B2F97" w:rsidP="008B2F97" w:rsidR="008B2F97" w:rsidRPr="008B2F97">
      <w:pPr>
        <w:rPr>
          <w:lang w:val="hr-HR"/>
        </w:rPr>
      </w:pPr>
    </w:p>
    <w:p w:rsidRDefault="00CE7D5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793003" w:rsidR="00793003" w:rsidRPr="00B46E8A">
      <w:pPr>
        <w:pStyle w:val="Naslov1"/>
        <w:rPr>
          <w:szCs w:val="24"/>
        </w:rPr>
      </w:pPr>
    </w:p>
    <w:p w:rsidRDefault="00793003" w:rsidR="00EF4316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CE7D5C" w:rsidRPr="00B46E8A">
        <w:rPr>
          <w:szCs w:val="24"/>
        </w:rPr>
        <w:t>J E Š E N J E</w:t>
      </w:r>
    </w:p>
    <w:p w:rsidRDefault="00EF4316" w:rsidR="00EF4316">
      <w:pPr>
        <w:jc w:val="center"/>
        <w:rPr>
          <w:b/>
          <w:sz w:val="24"/>
          <w:szCs w:val="24"/>
          <w:lang w:val="hr-HR"/>
        </w:rPr>
      </w:pPr>
    </w:p>
    <w:p w:rsidRDefault="008B2F97" w:rsidR="008B2F97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8B2F97" w:rsidRPr="008B2F97">
        <w:rPr>
          <w:szCs w:val="24"/>
        </w:rPr>
        <w:t>Stečajna masa iza GANTZ d.o.o. za usluge u stečaju, Split, A.B. Šimića 20, OIB: 42737742220, zastupanog po stečajnom upravitelju Ivanu Sunara</w:t>
      </w:r>
      <w:r w:rsidR="008B2F97">
        <w:rPr>
          <w:szCs w:val="24"/>
        </w:rPr>
        <w:t>,</w:t>
      </w:r>
      <w:r w:rsidR="00BD16CE" w:rsidRPr="00BD16CE">
        <w:rPr>
          <w:szCs w:val="24"/>
        </w:rPr>
        <w:t xml:space="preserve"> </w:t>
      </w:r>
      <w:r w:rsidRPr="00B46E8A">
        <w:rPr>
          <w:szCs w:val="24"/>
        </w:rPr>
        <w:t xml:space="preserve">dana </w:t>
      </w:r>
      <w:r w:rsidR="008B2F97">
        <w:rPr>
          <w:szCs w:val="24"/>
        </w:rPr>
        <w:t>14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BD16CE">
        <w:rPr>
          <w:szCs w:val="24"/>
        </w:rPr>
        <w:t>ožujk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>
      <w:pPr>
        <w:pStyle w:val="Tijeloteksta"/>
        <w:rPr>
          <w:szCs w:val="24"/>
        </w:rPr>
      </w:pPr>
    </w:p>
    <w:p w:rsidRDefault="008B2F97" w:rsidR="008B2F97" w:rsidRPr="00B46E8A">
      <w:pPr>
        <w:pStyle w:val="Tijeloteksta"/>
        <w:rPr>
          <w:szCs w:val="24"/>
        </w:rPr>
      </w:pPr>
    </w:p>
    <w:p w:rsidRDefault="00CE7D5C" w:rsidR="00EF4316" w:rsidRPr="00B46E8A">
      <w:pPr>
        <w:pStyle w:val="Tijeloteksta"/>
        <w:jc w:val="center"/>
        <w:rPr>
          <w:b/>
          <w:szCs w:val="24"/>
        </w:rPr>
      </w:pPr>
      <w:r w:rsidRPr="00B46E8A">
        <w:rPr>
          <w:b/>
          <w:szCs w:val="24"/>
        </w:rPr>
        <w:t>r i j e š i o</w:t>
      </w:r>
      <w:r w:rsidR="00EF4316" w:rsidRPr="00B46E8A">
        <w:rPr>
          <w:b/>
          <w:szCs w:val="24"/>
        </w:rPr>
        <w:t xml:space="preserve">    j e</w:t>
      </w:r>
    </w:p>
    <w:p w:rsidRDefault="00EF4316" w:rsidR="00EF4316">
      <w:pPr>
        <w:pStyle w:val="Tijeloteksta"/>
        <w:jc w:val="center"/>
        <w:rPr>
          <w:b/>
          <w:szCs w:val="24"/>
        </w:rPr>
      </w:pPr>
    </w:p>
    <w:p w:rsidRDefault="008B2F97" w:rsidR="008B2F97" w:rsidRPr="00B46E8A">
      <w:pPr>
        <w:pStyle w:val="Tijeloteksta"/>
        <w:jc w:val="center"/>
        <w:rPr>
          <w:b/>
          <w:szCs w:val="24"/>
        </w:rPr>
      </w:pPr>
    </w:p>
    <w:p w:rsidRDefault="00B4737F" w:rsidP="008B2F97" w:rsidR="00BD16CE" w:rsidRPr="008B2F97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8B2F97">
        <w:rPr>
          <w:sz w:val="24"/>
          <w:szCs w:val="24"/>
          <w:lang w:val="hr-HR"/>
        </w:rPr>
        <w:t>Ispravlja</w:t>
      </w:r>
      <w:r w:rsidR="00F25A29" w:rsidRPr="008B2F97">
        <w:rPr>
          <w:sz w:val="24"/>
          <w:szCs w:val="24"/>
          <w:lang w:val="hr-HR"/>
        </w:rPr>
        <w:t xml:space="preserve"> se rješenje Trgovačkog suda u Splitu, Stalne službe</w:t>
      </w:r>
      <w:r w:rsidR="008B2F97">
        <w:rPr>
          <w:sz w:val="24"/>
          <w:szCs w:val="24"/>
          <w:lang w:val="hr-HR"/>
        </w:rPr>
        <w:t xml:space="preserve"> u Dubrovniku, pod posl. br. 18 </w:t>
      </w:r>
      <w:r w:rsidR="00F25A29" w:rsidRPr="008B2F97">
        <w:rPr>
          <w:sz w:val="24"/>
          <w:szCs w:val="24"/>
          <w:lang w:val="hr-HR"/>
        </w:rPr>
        <w:t>St-</w:t>
      </w:r>
      <w:r w:rsidR="008B2F97" w:rsidRPr="008B2F97">
        <w:rPr>
          <w:sz w:val="24"/>
          <w:szCs w:val="24"/>
          <w:lang w:val="hr-HR"/>
        </w:rPr>
        <w:t>1856</w:t>
      </w:r>
      <w:r w:rsidR="00F25A29" w:rsidRPr="008B2F97">
        <w:rPr>
          <w:sz w:val="24"/>
          <w:szCs w:val="24"/>
          <w:lang w:val="hr-HR"/>
        </w:rPr>
        <w:t>/201</w:t>
      </w:r>
      <w:r w:rsidR="00BD16CE" w:rsidRPr="008B2F97">
        <w:rPr>
          <w:sz w:val="24"/>
          <w:szCs w:val="24"/>
          <w:lang w:val="hr-HR"/>
        </w:rPr>
        <w:t>6</w:t>
      </w:r>
      <w:r w:rsidRPr="008B2F97">
        <w:rPr>
          <w:sz w:val="24"/>
          <w:szCs w:val="24"/>
          <w:lang w:val="hr-HR"/>
        </w:rPr>
        <w:t xml:space="preserve"> od </w:t>
      </w:r>
      <w:r w:rsidR="008B2F97" w:rsidRPr="008B2F97">
        <w:rPr>
          <w:sz w:val="24"/>
          <w:szCs w:val="24"/>
          <w:lang w:val="hr-HR"/>
        </w:rPr>
        <w:t>16</w:t>
      </w:r>
      <w:r w:rsidR="00F25A29" w:rsidRPr="008B2F97">
        <w:rPr>
          <w:sz w:val="24"/>
          <w:szCs w:val="24"/>
          <w:lang w:val="hr-HR"/>
        </w:rPr>
        <w:t xml:space="preserve">. </w:t>
      </w:r>
      <w:r w:rsidR="00BD16CE" w:rsidRPr="008B2F97">
        <w:rPr>
          <w:sz w:val="24"/>
          <w:szCs w:val="24"/>
          <w:lang w:val="hr-HR"/>
        </w:rPr>
        <w:t>veljače 2017</w:t>
      </w:r>
      <w:r w:rsidR="00F25A29" w:rsidRPr="008B2F97">
        <w:rPr>
          <w:sz w:val="24"/>
          <w:szCs w:val="24"/>
          <w:lang w:val="hr-HR"/>
        </w:rPr>
        <w:t xml:space="preserve">. godine na način da </w:t>
      </w:r>
      <w:r w:rsidR="008B2F97" w:rsidRPr="008B2F97">
        <w:rPr>
          <w:sz w:val="24"/>
          <w:szCs w:val="24"/>
          <w:lang w:val="hr-HR"/>
        </w:rPr>
        <w:t>u toč. I</w:t>
      </w:r>
      <w:r w:rsidR="00F25A29" w:rsidRPr="008B2F97">
        <w:rPr>
          <w:sz w:val="24"/>
          <w:szCs w:val="24"/>
          <w:lang w:val="hr-HR"/>
        </w:rPr>
        <w:t>. izreke rješenja</w:t>
      </w:r>
      <w:r w:rsidR="008B2F97">
        <w:rPr>
          <w:sz w:val="24"/>
          <w:szCs w:val="24"/>
          <w:lang w:val="hr-HR"/>
        </w:rPr>
        <w:t xml:space="preserve"> u prvom redu</w:t>
      </w:r>
      <w:r w:rsidR="00BD16CE" w:rsidRPr="008B2F97">
        <w:rPr>
          <w:sz w:val="24"/>
          <w:szCs w:val="24"/>
          <w:lang w:val="hr-HR"/>
        </w:rPr>
        <w:t xml:space="preserve"> </w:t>
      </w:r>
      <w:r w:rsidR="008B2F97">
        <w:rPr>
          <w:sz w:val="24"/>
          <w:szCs w:val="24"/>
          <w:lang w:val="hr-HR"/>
        </w:rPr>
        <w:t>umjesto prve riječi "Nekretnina" trebaju stajati riječi "3/4 suvlasničkog dijela nekretnine"</w:t>
      </w:r>
    </w:p>
    <w:p w:rsidRDefault="00F25A29" w:rsidP="00F25A29" w:rsidR="00F25A29">
      <w:pPr>
        <w:ind w:hanging="705" w:left="705"/>
        <w:jc w:val="both"/>
        <w:rPr>
          <w:sz w:val="24"/>
          <w:szCs w:val="24"/>
          <w:lang w:val="hr-HR"/>
        </w:rPr>
      </w:pPr>
    </w:p>
    <w:p w:rsidRDefault="008B2F97" w:rsidP="00F25A29" w:rsidR="008B2F97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Obrazloženje</w:t>
      </w:r>
    </w:p>
    <w:p w:rsidRDefault="00F25A29" w:rsidP="006A1529" w:rsidR="00F25A29">
      <w:pPr>
        <w:jc w:val="both"/>
        <w:rPr>
          <w:sz w:val="24"/>
          <w:szCs w:val="24"/>
          <w:lang w:val="hr-HR"/>
        </w:rPr>
      </w:pPr>
    </w:p>
    <w:p w:rsidRDefault="008B2F97" w:rsidP="006A1529" w:rsidR="008B2F97" w:rsidRPr="00B46E8A">
      <w:pPr>
        <w:jc w:val="both"/>
        <w:rPr>
          <w:sz w:val="24"/>
          <w:szCs w:val="24"/>
          <w:lang w:val="hr-HR"/>
        </w:rPr>
      </w:pPr>
    </w:p>
    <w:p w:rsidRDefault="00F25A29" w:rsidP="00F25A29" w:rsidR="002F3F6F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Uvidom u predmetno rješ</w:t>
      </w:r>
      <w:r w:rsidR="00EE1D64" w:rsidRPr="00B46E8A">
        <w:rPr>
          <w:sz w:val="24"/>
          <w:szCs w:val="24"/>
          <w:lang w:val="hr-HR"/>
        </w:rPr>
        <w:t>enje</w:t>
      </w:r>
      <w:r w:rsidR="002F3F6F" w:rsidRPr="002F3F6F">
        <w:t xml:space="preserve"> </w:t>
      </w:r>
      <w:r w:rsidR="002F3F6F" w:rsidRPr="002F3F6F">
        <w:rPr>
          <w:sz w:val="24"/>
          <w:szCs w:val="24"/>
          <w:lang w:val="hr-HR"/>
        </w:rPr>
        <w:t>pod posl. br. 18 St-</w:t>
      </w:r>
      <w:r w:rsidR="008B2F97" w:rsidRPr="008B2F97">
        <w:rPr>
          <w:sz w:val="24"/>
          <w:szCs w:val="24"/>
          <w:lang w:val="hr-HR"/>
        </w:rPr>
        <w:t>1856/2016 od 16. veljače 2017. godine</w:t>
      </w:r>
      <w:r w:rsidR="00EE1D64" w:rsidRPr="00B46E8A">
        <w:rPr>
          <w:sz w:val="24"/>
          <w:szCs w:val="24"/>
          <w:lang w:val="hr-HR"/>
        </w:rPr>
        <w:t xml:space="preserve"> utvrđeno je da je </w:t>
      </w:r>
      <w:r w:rsidR="00B4737F" w:rsidRPr="00B46E8A">
        <w:rPr>
          <w:sz w:val="24"/>
          <w:szCs w:val="24"/>
          <w:lang w:val="hr-HR"/>
        </w:rPr>
        <w:t xml:space="preserve">očitom </w:t>
      </w:r>
      <w:r w:rsidR="00331D09">
        <w:rPr>
          <w:sz w:val="24"/>
          <w:szCs w:val="24"/>
          <w:lang w:val="hr-HR"/>
        </w:rPr>
        <w:t>pogreškom u pisanju</w:t>
      </w:r>
      <w:r w:rsidR="00EE1D64" w:rsidRPr="00B46E8A">
        <w:rPr>
          <w:sz w:val="24"/>
          <w:szCs w:val="24"/>
          <w:lang w:val="hr-HR"/>
        </w:rPr>
        <w:t xml:space="preserve"> </w:t>
      </w:r>
      <w:r w:rsidR="00B4737F" w:rsidRPr="00B46E8A">
        <w:rPr>
          <w:sz w:val="24"/>
          <w:szCs w:val="24"/>
          <w:lang w:val="hr-HR"/>
        </w:rPr>
        <w:t>u</w:t>
      </w:r>
      <w:r w:rsidRPr="00B46E8A">
        <w:rPr>
          <w:sz w:val="24"/>
          <w:szCs w:val="24"/>
          <w:lang w:val="hr-HR"/>
        </w:rPr>
        <w:t xml:space="preserve"> I. točk</w:t>
      </w:r>
      <w:r w:rsidR="00B4737F" w:rsidRPr="00B46E8A">
        <w:rPr>
          <w:sz w:val="24"/>
          <w:szCs w:val="24"/>
          <w:lang w:val="hr-HR"/>
        </w:rPr>
        <w:t>i</w:t>
      </w:r>
      <w:r w:rsidRPr="00B46E8A">
        <w:rPr>
          <w:sz w:val="24"/>
          <w:szCs w:val="24"/>
          <w:lang w:val="hr-HR"/>
        </w:rPr>
        <w:t xml:space="preserve"> rješenja </w:t>
      </w:r>
      <w:r w:rsidR="00B4737F" w:rsidRPr="00B46E8A">
        <w:rPr>
          <w:sz w:val="24"/>
          <w:szCs w:val="24"/>
          <w:lang w:val="hr-HR"/>
        </w:rPr>
        <w:t xml:space="preserve">navedeno da </w:t>
      </w:r>
      <w:r w:rsidR="002F3F6F">
        <w:rPr>
          <w:sz w:val="24"/>
          <w:szCs w:val="24"/>
          <w:lang w:val="hr-HR"/>
        </w:rPr>
        <w:t xml:space="preserve">je </w:t>
      </w:r>
      <w:r w:rsidR="008B2F97">
        <w:rPr>
          <w:sz w:val="24"/>
          <w:szCs w:val="24"/>
          <w:lang w:val="hr-HR"/>
        </w:rPr>
        <w:t xml:space="preserve">se radi o nekretnini </w:t>
      </w:r>
      <w:r w:rsidR="008B2F97" w:rsidRPr="008B2F97">
        <w:rPr>
          <w:sz w:val="24"/>
          <w:szCs w:val="24"/>
          <w:lang w:val="hr-HR"/>
        </w:rPr>
        <w:t>čest.br. 17 – vrt, površine 266 m2, upisane kod Općinskog suda u Dubrovniku, zemljišno knjižni odjel Dubrovnik, u  z.ul. 267, za k.o. Obuljeno</w:t>
      </w:r>
      <w:r w:rsidR="008B2F97">
        <w:rPr>
          <w:sz w:val="24"/>
          <w:szCs w:val="24"/>
          <w:lang w:val="hr-HR"/>
        </w:rPr>
        <w:t xml:space="preserve">, a radi se o </w:t>
      </w:r>
      <w:r w:rsidR="008B2F97" w:rsidRPr="008B2F97">
        <w:rPr>
          <w:sz w:val="24"/>
          <w:szCs w:val="24"/>
          <w:lang w:val="hr-HR"/>
        </w:rPr>
        <w:t>3/4 suvlasničkog dijela nekretnine</w:t>
      </w:r>
      <w:r w:rsidR="008B2F97">
        <w:rPr>
          <w:sz w:val="24"/>
          <w:szCs w:val="24"/>
          <w:lang w:val="hr-HR"/>
        </w:rPr>
        <w:t xml:space="preserve"> </w:t>
      </w:r>
      <w:r w:rsidR="008B2F97" w:rsidRPr="008B2F97">
        <w:rPr>
          <w:sz w:val="24"/>
          <w:szCs w:val="24"/>
          <w:lang w:val="hr-HR"/>
        </w:rPr>
        <w:t>čest.br. 17 – vrt, površine 266 m2, upisane kod Općinskog suda u Dubrovniku, zemljišno knjižni odjel Dubrovnik, u  z.ul. 267, za k.o. Obuljeno</w:t>
      </w:r>
      <w:r w:rsidR="002F3F6F">
        <w:rPr>
          <w:sz w:val="24"/>
          <w:szCs w:val="24"/>
          <w:lang w:val="hr-HR"/>
        </w:rPr>
        <w:t>.</w:t>
      </w: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radi o</w:t>
      </w:r>
      <w:r w:rsidR="00331D09">
        <w:rPr>
          <w:sz w:val="24"/>
          <w:szCs w:val="24"/>
          <w:lang w:val="hr-HR"/>
        </w:rPr>
        <w:t xml:space="preserve"> očitoj pogrešci u pisanju</w:t>
      </w:r>
      <w:r>
        <w:rPr>
          <w:sz w:val="24"/>
          <w:szCs w:val="24"/>
          <w:lang w:val="hr-HR"/>
        </w:rPr>
        <w:t xml:space="preserve"> vidljivo je </w:t>
      </w:r>
      <w:r w:rsidR="008B2F97">
        <w:rPr>
          <w:sz w:val="24"/>
          <w:szCs w:val="24"/>
          <w:lang w:val="hr-HR"/>
        </w:rPr>
        <w:t xml:space="preserve">i iz zemljišno knjižnog izvatka jer je stečajni dužnik uknjižen na </w:t>
      </w:r>
      <w:r w:rsidR="008B2F97" w:rsidRPr="008B2F97">
        <w:rPr>
          <w:sz w:val="24"/>
          <w:szCs w:val="24"/>
          <w:lang w:val="hr-HR"/>
        </w:rPr>
        <w:t>3/4 suvlasničkog dijela nekretnine</w:t>
      </w:r>
      <w:r w:rsidR="008B2F97">
        <w:rPr>
          <w:sz w:val="24"/>
          <w:szCs w:val="24"/>
          <w:lang w:val="hr-HR"/>
        </w:rPr>
        <w:t>, a ne u cijelosti na cijelu nekretninu, dok je ¼ suvlasničkog dijela nekretnine uknjižena na ime Kvestić Tonko Nikolin, OIB: 33844738922</w:t>
      </w:r>
      <w:r>
        <w:rPr>
          <w:sz w:val="24"/>
          <w:szCs w:val="24"/>
          <w:lang w:val="hr-HR"/>
        </w:rPr>
        <w:t xml:space="preserve">. </w:t>
      </w:r>
    </w:p>
    <w:p w:rsidRDefault="00F25A29" w:rsidP="008B2F97" w:rsidR="00F25A29" w:rsidRPr="00B46E8A">
      <w:pPr>
        <w:jc w:val="both"/>
        <w:rPr>
          <w:sz w:val="24"/>
          <w:szCs w:val="24"/>
          <w:lang w:val="hr-HR"/>
        </w:rPr>
      </w:pPr>
    </w:p>
    <w:p w:rsidRDefault="00F25A29" w:rsidP="00EE1D64" w:rsidR="00F25A29" w:rsidRPr="00B46E8A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lastRenderedPageBreak/>
        <w:t>Slijedom navedenog valjalo je na temelju čl. 10. Stečajnog zakona (NN 71/15, dalje u tekstu: SZ)  primijeniti  čl. 34</w:t>
      </w:r>
      <w:r w:rsidR="00EE1D64" w:rsidRPr="00B46E8A">
        <w:rPr>
          <w:sz w:val="24"/>
          <w:szCs w:val="24"/>
          <w:lang w:val="hr-HR"/>
        </w:rPr>
        <w:t>0</w:t>
      </w:r>
      <w:r w:rsidRPr="00B46E8A">
        <w:rPr>
          <w:sz w:val="24"/>
          <w:szCs w:val="24"/>
          <w:lang w:val="hr-HR"/>
        </w:rPr>
        <w:t>.</w:t>
      </w:r>
      <w:r w:rsidR="00E87AEB" w:rsidRPr="00B46E8A">
        <w:rPr>
          <w:sz w:val="24"/>
          <w:szCs w:val="24"/>
          <w:lang w:val="hr-HR"/>
        </w:rPr>
        <w:t>, 342.</w:t>
      </w:r>
      <w:r w:rsidR="00EE1D64" w:rsidRPr="00B46E8A">
        <w:rPr>
          <w:sz w:val="24"/>
          <w:szCs w:val="24"/>
          <w:lang w:val="hr-HR"/>
        </w:rPr>
        <w:t xml:space="preserve"> i 347.</w:t>
      </w:r>
      <w:r w:rsidRPr="00B46E8A">
        <w:rPr>
          <w:sz w:val="24"/>
          <w:szCs w:val="24"/>
          <w:lang w:val="hr-HR"/>
        </w:rPr>
        <w:t xml:space="preserve"> Zakona o parničnom postupku (Narodne novine broj 53/91, 91/92, 58/93, 112/99, 88/01, 117/03, 88/05, 02/07, 84/08, 123/08, 57/11, 148/11, 25/13, 89/14, dalje u tekstu: ZPP-a) i </w:t>
      </w:r>
      <w:r w:rsidR="00E87AEB" w:rsidRPr="00B46E8A">
        <w:rPr>
          <w:sz w:val="24"/>
          <w:szCs w:val="24"/>
          <w:lang w:val="hr-HR"/>
        </w:rPr>
        <w:t xml:space="preserve">ispraviti i </w:t>
      </w:r>
      <w:r w:rsidR="00EE1D64" w:rsidRPr="00B46E8A">
        <w:rPr>
          <w:sz w:val="24"/>
          <w:szCs w:val="24"/>
          <w:lang w:val="hr-HR"/>
        </w:rPr>
        <w:t>dopuniti rješenje</w:t>
      </w:r>
      <w:r w:rsidRPr="00B46E8A">
        <w:rPr>
          <w:sz w:val="24"/>
          <w:szCs w:val="24"/>
          <w:lang w:val="hr-HR"/>
        </w:rPr>
        <w:t xml:space="preserve"> na način kako je to navedeno u izreci ovog rješenja.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763F7D" w:rsidP="00763F7D" w:rsidR="00763F7D" w:rsidRPr="00B46E8A">
      <w:pPr>
        <w:ind w:firstLine="708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 xml:space="preserve">Zbog navedenog, na temelju navedenih propisa, odlučeno je kao u izreci. </w:t>
      </w:r>
    </w:p>
    <w:p w:rsidRDefault="003C52FE" w:rsidP="00763F7D" w:rsidR="003C52FE" w:rsidRPr="00B46E8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46E8A">
      <w:pPr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U Dubrovniku, </w:t>
      </w:r>
      <w:r w:rsidR="008B2F97">
        <w:rPr>
          <w:b/>
          <w:sz w:val="24"/>
          <w:szCs w:val="24"/>
          <w:lang w:val="hr-HR"/>
        </w:rPr>
        <w:t>14</w:t>
      </w:r>
      <w:r w:rsidRPr="00B46E8A">
        <w:rPr>
          <w:b/>
          <w:sz w:val="24"/>
          <w:szCs w:val="24"/>
          <w:lang w:val="hr-HR"/>
        </w:rPr>
        <w:t xml:space="preserve">. </w:t>
      </w:r>
      <w:r w:rsidR="00331D09">
        <w:rPr>
          <w:b/>
          <w:sz w:val="24"/>
          <w:szCs w:val="24"/>
          <w:lang w:val="hr-HR"/>
        </w:rPr>
        <w:t>ožujk</w:t>
      </w:r>
      <w:r w:rsidR="00496822" w:rsidRPr="00B46E8A">
        <w:rPr>
          <w:b/>
          <w:sz w:val="24"/>
          <w:szCs w:val="24"/>
          <w:lang w:val="hr-HR"/>
        </w:rPr>
        <w:t>a</w:t>
      </w:r>
      <w:r w:rsidRPr="00B46E8A">
        <w:rPr>
          <w:b/>
          <w:sz w:val="24"/>
          <w:szCs w:val="24"/>
          <w:lang w:val="hr-HR"/>
        </w:rPr>
        <w:t xml:space="preserve"> 201</w:t>
      </w:r>
      <w:r w:rsidR="00331D09">
        <w:rPr>
          <w:b/>
          <w:sz w:val="24"/>
          <w:szCs w:val="24"/>
          <w:lang w:val="hr-HR"/>
        </w:rPr>
        <w:t>7</w:t>
      </w:r>
      <w:r w:rsidRPr="00B46E8A">
        <w:rPr>
          <w:b/>
          <w:sz w:val="24"/>
          <w:szCs w:val="24"/>
          <w:lang w:val="hr-HR"/>
        </w:rPr>
        <w:t>. godine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  <w:t>Stečajni sudac: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8904E0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="00893081" w:rsidRPr="00B46E8A">
        <w:rPr>
          <w:b/>
          <w:sz w:val="24"/>
          <w:szCs w:val="24"/>
          <w:lang w:val="hr-HR"/>
        </w:rPr>
        <w:t>Katarina Franković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UPUTA O PRAVNOM LIJEKU</w:t>
      </w:r>
    </w:p>
    <w:p w:rsidRDefault="00B46E8A" w:rsidP="003C52FE" w:rsidR="00410B76" w:rsidRPr="00B46E8A">
      <w:pPr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46E8A" w:rsidP="003C52FE" w:rsidR="00B46E8A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DN-a:</w:t>
      </w:r>
    </w:p>
    <w:p w:rsidRDefault="008B2F97" w:rsidP="008B2F97" w:rsidR="008B2F97" w:rsidRPr="008B2F97">
      <w:pPr>
        <w:pStyle w:val="Tijeloteksta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Pr="008B2F97">
        <w:rPr>
          <w:szCs w:val="24"/>
        </w:rPr>
        <w:t xml:space="preserve">stečajnom upravitelju </w:t>
      </w:r>
    </w:p>
    <w:p w:rsidRDefault="008B2F97" w:rsidP="008B2F97" w:rsidR="008B2F97">
      <w:pPr>
        <w:pStyle w:val="Tijeloteksta"/>
        <w:rPr>
          <w:szCs w:val="24"/>
        </w:rPr>
      </w:pPr>
      <w:r w:rsidRPr="008B2F97">
        <w:rPr>
          <w:szCs w:val="24"/>
        </w:rPr>
        <w:t>-</w:t>
      </w:r>
      <w:r w:rsidRPr="008B2F97">
        <w:rPr>
          <w:szCs w:val="24"/>
        </w:rPr>
        <w:tab/>
        <w:t>razlučnom vjerovniku po ŽDO Dubrovnik</w:t>
      </w:r>
    </w:p>
    <w:p w:rsidRDefault="006F339B" w:rsidP="008B2F97" w:rsidR="006F339B" w:rsidRPr="008B2F97">
      <w:pPr>
        <w:pStyle w:val="Tijeloteksta"/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ab/>
        <w:t>Tonko Kvestić, Nikolin</w:t>
      </w:r>
    </w:p>
    <w:p w:rsidRDefault="008B2F97" w:rsidP="008B2F97" w:rsidR="008B2F97" w:rsidRPr="008B2F97">
      <w:pPr>
        <w:pStyle w:val="Tijeloteksta"/>
        <w:rPr>
          <w:szCs w:val="24"/>
        </w:rPr>
      </w:pPr>
      <w:r w:rsidRPr="008B2F97">
        <w:rPr>
          <w:szCs w:val="24"/>
        </w:rPr>
        <w:t>-</w:t>
      </w:r>
      <w:r w:rsidRPr="008B2F97">
        <w:rPr>
          <w:szCs w:val="24"/>
        </w:rPr>
        <w:tab/>
        <w:t>Zemljišno – knjižni odjel, OS Dubrovnik</w:t>
      </w:r>
      <w:r w:rsidR="002516BB">
        <w:rPr>
          <w:szCs w:val="24"/>
        </w:rPr>
        <w:t xml:space="preserve"> na posl.br. </w:t>
      </w:r>
      <w:r w:rsidR="002516BB" w:rsidRPr="002516BB">
        <w:rPr>
          <w:b/>
          <w:szCs w:val="24"/>
        </w:rPr>
        <w:t>Z-2333/2017</w:t>
      </w:r>
    </w:p>
    <w:p w:rsidRDefault="008B2F97" w:rsidP="008B2F97" w:rsidR="00EF4316" w:rsidRPr="00B46E8A">
      <w:pPr>
        <w:pStyle w:val="Tijeloteksta"/>
        <w:rPr>
          <w:szCs w:val="24"/>
        </w:rPr>
      </w:pPr>
      <w:r w:rsidRPr="008B2F97">
        <w:rPr>
          <w:szCs w:val="24"/>
        </w:rPr>
        <w:t>-</w:t>
      </w:r>
      <w:r w:rsidRPr="008B2F97">
        <w:rPr>
          <w:szCs w:val="24"/>
        </w:rPr>
        <w:tab/>
        <w:t>Mrežna stranica e-oglasna ploča suda</w:t>
      </w:r>
    </w:p>
    <w:sectPr w:rsidSect="00441605" w:rsidR="00EF4316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F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2F97" w:rsidP="008B2F97" w:rsidR="001C542F" w:rsidRPr="001C542F">
    <w:pPr>
      <w:jc w:val="right"/>
      <w:rPr>
        <w:b/>
        <w:sz w:val="22"/>
        <w:szCs w:val="22"/>
        <w:lang w:val="hr-HR"/>
      </w:rPr>
    </w:pPr>
    <w:r w:rsidRPr="008B2F97">
      <w:rPr>
        <w:b/>
        <w:sz w:val="22"/>
        <w:szCs w:val="22"/>
        <w:lang w:val="hr-HR"/>
      </w:rPr>
      <w:t>Posl. br. 18 St-1856/2016-27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16BB"/>
    <w:rsid w:val="00256425"/>
    <w:rsid w:val="00256749"/>
    <w:rsid w:val="002660EF"/>
    <w:rsid w:val="0026719A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C7FE6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6F339B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B2F97"/>
    <w:rsid w:val="008D339B"/>
    <w:rsid w:val="0093736B"/>
    <w:rsid w:val="009505E6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GANTZ d.o.o. za usluge u stečaju zastupanog po punomoćniku Arnon Gantz</izvorni_sadrzaj>
    <derivirana_varijabla naziv="DomainObject.Predmet.ProtustrankaFormated_1">  Stečajna masa iza GANTZ d.o.o. za usluge u stečaju zastupanog po punomoćniku Arnon Gantz</derivirana_varijabla>
  </DomainObject.Predmet.ProtustrankaFormated>
  <DomainObject.Predmet.ProtustrankaFormatedOIB>
    <izvorni_sadrzaj>  Stečajna masa iza GANTZ d.o.o. za usluge u stečaju, OIB 42737742220 zastupanog po punomoćniku Arnon Gantz</izvorni_sadrzaj>
    <derivirana_varijabla naziv="DomainObject.Predmet.ProtustrankaFormatedOIB_1">  Stečajna masa iza GANTZ d.o.o. za usluge u stečaju, OIB 42737742220 zastupanog po punomoćniku Arnon Gantz</derivirana_varijabla>
  </DomainObject.Predmet.ProtustrankaFormatedOIB>
  <DomainObject.Predmet.ProtustrankaFormatedWithAdress>
    <izvorni_sadrzaj> Stečajna masa iza GANTZ d.o.o. za usluge u stečaju, A.B. Šimića 20, 21000 Split zastupanog po punomoćniku Arnon Gantz</izvorni_sadrzaj>
    <derivirana_varijabla naziv="DomainObject.Predmet.ProtustrankaFormatedWithAdress_1"> Stečajna masa iza GANTZ d.o.o. za usluge u stečaju, A.B. Šimića 20, 21000 Split zastupanog po punomoćniku Arnon Gantz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</izvorni_sadrzaj>
    <derivirana_varijabla naziv="DomainObject.Predmet.ProtustrankaFormatedWithAdressOIB_1"> Stečajna masa iza GANTZ d.o.o. za usluge u stečaju, OIB 42737742220, A.B. Šimića 20, 21000 Split zastupanog po punomoćniku Arnon Gantz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</item>
    </izvorni_sadrzaj>
    <derivirana_varijabla naziv="DomainObject.Predmet.ProtuStrankaListFormated_1">
      <item>Stečajna masa iza GANTZ d.o.o. za usluge u stečaju zastupanog po punomoćniku Arnon Gantz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</item>
    </izvorni_sadrzaj>
    <derivirana_varijabla naziv="DomainObject.Predmet.ProtuStrankaListFormatedOIB_1">
      <item>Stečajna masa iza GANTZ d.o.o. za usluge u stečaju, OIB 42737742220 zastupanog po punomoćniku Arnon Gantz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</item>
    </izvorni_sadrzaj>
    <derivirana_varijabla naziv="DomainObject.Predmet.ProtuStrankaListFormatedWithAdress_1">
      <item>Stečajna masa iza GANTZ d.o.o. za usluge u stečaju, A.B. Šimića 20, 21000 Split zastupanog po punomoćniku Arnon Gantz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</item>
    </izvorni_sadrzaj>
    <derivirana_varijabla naziv="DomainObject.Predmet.ProtuStrankaListFormatedWithAdressOIB_1">
      <item>Stečajna masa iza GANTZ d.o.o. za usluge u stečaju, OIB 42737742220, A.B. Šimića 20, 21000 Split zastupanog po punomoćniku Arnon Gantz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</izvorni_sadrzaj>
    <derivirana_varijabla naziv="DomainObject.Predmet.OstaliListNazivFormated_1">
      <item>Arnon Gantz</item>
      <item>Hrvatski Telekom d.d.</item>
      <item>Financijska agencija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</izvorni_sadrzaj>
    <derivirana_varijabla naziv="DomainObject.Predmet.OstaliListNazivFormatedOIB_1">
      <item>Arnon Gantz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42737742220</item>
      <item>, OIB null</item>
      <item>, OIB 18683136487</item>
      <item>, OIB 81793146560</item>
    </izvorni_sadrzaj>
    <derivirana_varijabla naziv="DomainObject.Predmet.SudioniciListNazivOIB_1">
      <item>, OIB 85821130368</item>
      <item>, OIB 42737742220</item>
      <item>, OIB null</item>
      <item>, OIB 18683136487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E2F11-2A98-4032-B5BC-058508FD8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429</properties:Words>
  <properties:Characters>2179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2017-03-14T09:32:00Z</dcterms:created>
  <dc:creator>Ante Kačić</dc:creator>
  <cp:lastModifiedBy>Katarina Franković</cp:lastModifiedBy>
  <cp:lastPrinted>2017-03-14T09:33:00Z</cp:lastPrinted>
  <dcterms:modified xmlns:xsi="http://www.w3.org/2001/XMLSchema-instance" xsi:type="dcterms:W3CDTF">2017-03-14T09:34:00Z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