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596d" w14:paraId="673596d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E37C85">
        <w:rPr>
          <w:rFonts w:cs="Times New Roman"/>
          <w:b/>
        </w:rPr>
        <w:t>1856</w:t>
      </w:r>
      <w:r>
        <w:rPr>
          <w:rFonts w:cs="Times New Roman"/>
          <w:b/>
        </w:rPr>
        <w:t>/2016</w:t>
      </w:r>
      <w:r w:rsidR="00E37C85">
        <w:rPr>
          <w:rFonts w:cs="Times New Roman"/>
          <w:b/>
        </w:rPr>
        <w:t>-24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E37C85" w:rsidRPr="00E37C85">
        <w:rPr>
          <w:rFonts w:cs="Times New Roman" w:eastAsia="Times New Roman"/>
          <w:lang w:eastAsia="hr-HR"/>
        </w:rPr>
        <w:t>Stečajna masa iza GANTZ d.o.o. za usluge u stečaju, Split, A.B. Šimića 20, OIB: 42737742220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E37C85">
        <w:rPr>
          <w:rFonts w:cs="Times New Roman" w:eastAsia="Times New Roman"/>
          <w:lang w:eastAsia="hr-HR"/>
        </w:rPr>
        <w:t>Ivanu Sunara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E37C85">
        <w:rPr>
          <w:rFonts w:cs="Times New Roman" w:eastAsia="Times New Roman"/>
          <w:lang w:eastAsia="hr-HR"/>
        </w:rPr>
        <w:t>16. veljače</w:t>
      </w:r>
      <w:r>
        <w:rPr>
          <w:rFonts w:cs="Times New Roman" w:eastAsia="Times New Roman"/>
          <w:lang w:eastAsia="hr-HR"/>
        </w:rPr>
        <w:t xml:space="preserve"> 201</w:t>
      </w:r>
      <w:r w:rsidR="00E37C8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E37C85">
        <w:rPr>
          <w:rFonts w:cs="Times New Roman"/>
        </w:rPr>
        <w:t>a</w:t>
      </w:r>
      <w:r w:rsidRPr="00C02725">
        <w:rPr>
          <w:rFonts w:cs="Times New Roman"/>
        </w:rPr>
        <w:t xml:space="preserve">: </w:t>
      </w:r>
      <w:r w:rsidR="00E37C85">
        <w:rPr>
          <w:rFonts w:cs="Times New Roman"/>
        </w:rPr>
        <w:t xml:space="preserve">čest.br. 17 </w:t>
      </w:r>
      <w:r w:rsidR="005B77CF">
        <w:rPr>
          <w:rFonts w:cs="Times New Roman"/>
        </w:rPr>
        <w:t>–</w:t>
      </w:r>
      <w:r w:rsidR="00E37C85">
        <w:rPr>
          <w:rFonts w:cs="Times New Roman"/>
        </w:rPr>
        <w:t xml:space="preserve"> vrt, površine 266 m2,</w:t>
      </w:r>
      <w:r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upisane kod Općinskog suda u </w:t>
      </w:r>
      <w:r>
        <w:rPr>
          <w:rFonts w:cs="Times New Roman"/>
        </w:rPr>
        <w:t>Dubrovniku</w:t>
      </w:r>
      <w:r w:rsidR="005B77CF">
        <w:rPr>
          <w:rFonts w:cs="Times New Roman"/>
        </w:rPr>
        <w:t xml:space="preserve">, zemljišno knjižni odjel </w:t>
      </w:r>
      <w:r w:rsidR="00E37C85">
        <w:rPr>
          <w:rFonts w:cs="Times New Roman"/>
        </w:rPr>
        <w:t>Dubrovnik, u  z.ul. 267</w:t>
      </w:r>
      <w:r w:rsidRPr="00C02725">
        <w:rPr>
          <w:rFonts w:cs="Times New Roman"/>
        </w:rPr>
        <w:t xml:space="preserve">, za k.o. </w:t>
      </w:r>
      <w:r w:rsidR="00E37C85">
        <w:rPr>
          <w:rFonts w:cs="Times New Roman"/>
        </w:rPr>
        <w:t>Obuljeno</w:t>
      </w:r>
      <w:r w:rsidRPr="00C02725">
        <w:rPr>
          <w:rFonts w:cs="Times New Roman"/>
        </w:rPr>
        <w:t xml:space="preserve">,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E37C85" w:rsidRPr="00E37C85">
        <w:rPr>
          <w:rFonts w:cs="Times New Roman"/>
        </w:rPr>
        <w:t>Stečajna masa iza GANTZ d.o.o. za usluge u stečaju, Split, A.B. Šimića 20, OIB: 42737742220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301DAD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 xml:space="preserve">Na imovini iz točke I. ove odluke postoji upisano razlučno pravo u korist </w:t>
      </w:r>
      <w:r w:rsidR="00E37C85">
        <w:rPr>
          <w:rFonts w:cs="Times New Roman"/>
        </w:rPr>
        <w:t>REPUBLIKA HRVATSKA</w:t>
      </w:r>
      <w:r w:rsidRPr="00301DA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E37C85">
        <w:rPr>
          <w:rFonts w:cs="Times New Roman"/>
        </w:rPr>
        <w:t>Dubrovniku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suda u </w:t>
      </w:r>
      <w:r>
        <w:rPr>
          <w:rFonts w:cs="Times New Roman"/>
        </w:rPr>
        <w:t>Dubrovnik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E37C85" w:rsidP="00C02725" w:rsidR="00E37C85">
      <w:pPr>
        <w:spacing w:after="0"/>
        <w:ind w:firstLine="708"/>
        <w:jc w:val="both"/>
        <w:rPr>
          <w:rFonts w:cs="Times New Roman"/>
        </w:rPr>
      </w:pPr>
    </w:p>
    <w:p w:rsidRDefault="00E37C85" w:rsidP="00E37C85" w:rsidR="00E37C85" w:rsidRPr="00E37C85">
      <w:pPr>
        <w:spacing w:after="0"/>
        <w:ind w:firstLine="708"/>
        <w:jc w:val="both"/>
        <w:rPr>
          <w:rFonts w:cs="Times New Roman"/>
        </w:rPr>
      </w:pPr>
      <w:r w:rsidRPr="00E37C85">
        <w:rPr>
          <w:rFonts w:cs="Times New Roman"/>
        </w:rPr>
        <w:t>Rješenjem ovog suda posl.br. St-619/2015 od 11. ožujka 2016. Godine potvrđeno rješenjem Visokog trgovačkog suda Republike Hrvatske posl.br. Pž-2782/16-3 od 10. svibnja 2016.g., sukladno čl. 431. Stečajnog zakona (NN 71/15, dalje u tekstu SZ) otvoren je i zaključen stečajni postupak nad dužnikom GANTZ  d.o.o. "u stečaju"</w:t>
      </w:r>
      <w:r>
        <w:rPr>
          <w:rFonts w:cs="Times New Roman"/>
        </w:rPr>
        <w:t xml:space="preserve"> Mokošica, Donje Obuljeno, Gorava 32, OIB: 23329051021</w:t>
      </w:r>
      <w:r w:rsidRPr="00E37C85">
        <w:rPr>
          <w:rFonts w:cs="Times New Roman"/>
        </w:rPr>
        <w:t>.</w:t>
      </w:r>
    </w:p>
    <w:p w:rsidRDefault="00E37C85" w:rsidP="00E37C85" w:rsidR="00E37C85" w:rsidRPr="00E37C85">
      <w:pPr>
        <w:spacing w:after="0"/>
        <w:ind w:firstLine="708"/>
        <w:jc w:val="both"/>
        <w:rPr>
          <w:rFonts w:cs="Times New Roman"/>
        </w:rPr>
      </w:pPr>
    </w:p>
    <w:p w:rsidRDefault="00E37C85" w:rsidP="00E37C85" w:rsidR="00E37C85">
      <w:pPr>
        <w:spacing w:after="0"/>
        <w:ind w:firstLine="708"/>
        <w:jc w:val="both"/>
        <w:rPr>
          <w:rFonts w:cs="Times New Roman"/>
        </w:rPr>
      </w:pPr>
      <w:r w:rsidRPr="00E37C85">
        <w:rPr>
          <w:rFonts w:cs="Times New Roman"/>
        </w:rPr>
        <w:lastRenderedPageBreak/>
        <w:t>Rješenjem Trgovačkog suda u Splitu, Stalna služba u Dubrovniku posl.br. St- 1856/2016 od 22. studenoga 2016. godine određen je nastavak postupka radi naknadne diobe nad stečajnim dužnikom Stečajna masa iza GANTZ d.o.o. za usluge u stečaju</w:t>
      </w:r>
      <w:r>
        <w:rPr>
          <w:rFonts w:cs="Times New Roman"/>
        </w:rPr>
        <w:t>.</w:t>
      </w:r>
    </w:p>
    <w:p w:rsidRDefault="00E37C85" w:rsidP="00E37C85" w:rsidR="00E37C85">
      <w:pPr>
        <w:spacing w:after="0"/>
        <w:ind w:firstLine="708"/>
        <w:jc w:val="both"/>
        <w:rPr>
          <w:rFonts w:cs="Times New Roman"/>
        </w:rPr>
      </w:pPr>
    </w:p>
    <w:p w:rsidRDefault="00C02725" w:rsidP="00E37C85" w:rsidR="00C02725" w:rsidRP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E37C85" w:rsidRPr="00E37C85">
        <w:rPr>
          <w:rFonts w:cs="Times New Roman"/>
        </w:rPr>
        <w:t>Stečajna masa iza GANTZ d.o.o. za usluge u stečaju</w:t>
      </w:r>
      <w:r w:rsidRPr="00C02725">
        <w:rPr>
          <w:rFonts w:cs="Times New Roman"/>
        </w:rPr>
        <w:t>, utvrđeno je da u stečajnu masu ulaz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nekretnin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izvadak iz zemljišnih knjiga da na toj nekretnini postoji upisano razlučno pravo i to u korist </w:t>
      </w:r>
      <w:r w:rsidR="00E37C85">
        <w:rPr>
          <w:rFonts w:cs="Times New Roman"/>
        </w:rPr>
        <w:t>REPUBLIKA HRVATSKA</w:t>
      </w:r>
      <w:r w:rsidRPr="00C02725">
        <w:rPr>
          <w:rFonts w:cs="Times New Roman"/>
        </w:rPr>
        <w:t xml:space="preserve">.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E37C85">
        <w:rPr>
          <w:rFonts w:cs="Times New Roman"/>
        </w:rPr>
        <w:t xml:space="preserve"> i zastupnik po zakonu razlučnog vjerovnika Republika Hrvatska</w:t>
      </w:r>
      <w:r w:rsidRPr="00C02725">
        <w:rPr>
          <w:rFonts w:cs="Times New Roman"/>
        </w:rPr>
        <w:t xml:space="preserve"> </w:t>
      </w:r>
      <w:r w:rsidR="00E37C85">
        <w:rPr>
          <w:rFonts w:cs="Times New Roman"/>
        </w:rPr>
        <w:t>su</w:t>
      </w:r>
      <w:r w:rsidR="00874815">
        <w:rPr>
          <w:rFonts w:cs="Times New Roman"/>
        </w:rPr>
        <w:t xml:space="preserve"> predloži</w:t>
      </w:r>
      <w:r w:rsidR="00E37C85">
        <w:rPr>
          <w:rFonts w:cs="Times New Roman"/>
        </w:rPr>
        <w:t>li</w:t>
      </w:r>
      <w:r w:rsidR="008B7F97">
        <w:rPr>
          <w:rFonts w:cs="Times New Roman"/>
        </w:rPr>
        <w:t xml:space="preserve"> prodaju nekretnin</w:t>
      </w:r>
      <w:r w:rsidR="00E37C85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E37C85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E37C85">
        <w:rPr>
          <w:rFonts w:cs="Times New Roman"/>
          <w:b/>
        </w:rPr>
        <w:t>16. veljače</w:t>
      </w:r>
      <w:r w:rsidRPr="00874815">
        <w:rPr>
          <w:rFonts w:cs="Times New Roman"/>
          <w:b/>
        </w:rPr>
        <w:t xml:space="preserve">  201</w:t>
      </w:r>
      <w:r w:rsidR="00E37C8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C02725" w:rsidP="00C02725" w:rsidR="0087481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874815">
        <w:rPr>
          <w:rFonts w:cs="Times New Roman"/>
        </w:rPr>
        <w:t>razlučnom</w:t>
      </w:r>
      <w:r w:rsidRPr="00C02725">
        <w:rPr>
          <w:rFonts w:cs="Times New Roman"/>
        </w:rPr>
        <w:t xml:space="preserve"> vjerovnik</w:t>
      </w:r>
      <w:r w:rsidR="00874815">
        <w:rPr>
          <w:rFonts w:cs="Times New Roman"/>
        </w:rPr>
        <w:t>u</w:t>
      </w:r>
      <w:r w:rsidRPr="00C02725">
        <w:rPr>
          <w:rFonts w:cs="Times New Roman"/>
        </w:rPr>
        <w:t xml:space="preserve"> </w:t>
      </w:r>
      <w:r w:rsidR="00CE0486">
        <w:rPr>
          <w:rFonts w:cs="Times New Roman"/>
        </w:rPr>
        <w:t xml:space="preserve">po </w:t>
      </w:r>
      <w:r w:rsidR="00E37C85">
        <w:rPr>
          <w:rFonts w:cs="Times New Roman"/>
        </w:rPr>
        <w:t>ŽDO Dubrovnik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O</w:t>
      </w:r>
      <w:r w:rsidR="00C02725" w:rsidRPr="00C02725">
        <w:rPr>
          <w:rFonts w:cs="Times New Roman"/>
        </w:rPr>
        <w:t xml:space="preserve">S </w:t>
      </w:r>
      <w:r>
        <w:rPr>
          <w:rFonts w:cs="Times New Roman"/>
        </w:rPr>
        <w:t>Dubrovnik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A9C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</w:t>
        </w:r>
        <w:r w:rsidR="007A3A8F">
          <w:t xml:space="preserve">18 </w:t>
        </w:r>
        <w:r w:rsidR="00A47D59">
          <w:t>St-</w:t>
        </w:r>
        <w:r w:rsidR="00E37C85">
          <w:t>1856</w:t>
        </w:r>
        <w:r w:rsidR="00493F22">
          <w:t>/</w:t>
        </w:r>
        <w:r w:rsidR="007A3A8F">
          <w:t>2016</w:t>
        </w:r>
        <w:r w:rsidR="00CE0486">
          <w:t>-</w:t>
        </w:r>
        <w:r w:rsidR="00E37C85">
          <w:t>24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6771D"/>
    <w:rsid w:val="001935E7"/>
    <w:rsid w:val="001D45B7"/>
    <w:rsid w:val="001F29F1"/>
    <w:rsid w:val="002503C2"/>
    <w:rsid w:val="00267F18"/>
    <w:rsid w:val="002B4EDE"/>
    <w:rsid w:val="00301DAD"/>
    <w:rsid w:val="00315B9A"/>
    <w:rsid w:val="00335A9C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E28CF"/>
    <w:rsid w:val="00500F0E"/>
    <w:rsid w:val="00574648"/>
    <w:rsid w:val="005B2D6F"/>
    <w:rsid w:val="005B77CF"/>
    <w:rsid w:val="00607F1D"/>
    <w:rsid w:val="00631CB9"/>
    <w:rsid w:val="006A2293"/>
    <w:rsid w:val="00720DCA"/>
    <w:rsid w:val="0075722A"/>
    <w:rsid w:val="00766E59"/>
    <w:rsid w:val="007A3A8F"/>
    <w:rsid w:val="00843EEA"/>
    <w:rsid w:val="0085393B"/>
    <w:rsid w:val="00874815"/>
    <w:rsid w:val="008A101C"/>
    <w:rsid w:val="008A465B"/>
    <w:rsid w:val="008B7F97"/>
    <w:rsid w:val="009056C4"/>
    <w:rsid w:val="00934C3C"/>
    <w:rsid w:val="00947E88"/>
    <w:rsid w:val="00982A24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C02725"/>
    <w:rsid w:val="00CA3056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37C85"/>
    <w:rsid w:val="00EC7F7B"/>
    <w:rsid w:val="00ED7F10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A9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A9C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A9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A9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A9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A9C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A9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A9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</izvorni_sadrzaj>
    <derivirana_varijabla naziv="DomainObject.Predmet.ProtustrankaFormated_1">  Stečajna masa iza GANTZ d.o.o. za usluge u stečaju zastupanog po punomoćniku Arnon Gantz</derivirana_varijabla>
  </DomainObject.Predmet.ProtustrankaFormated>
  <DomainObject.Predmet.ProtustrankaFormatedOIB>
    <izvorni_sadrzaj>  Stečajna masa iza GANTZ d.o.o. za usluge u stečaju, OIB 42737742220 zastupanog po punomoćniku Arnon Gantz</izvorni_sadrzaj>
    <derivirana_varijabla naziv="DomainObject.Predmet.ProtustrankaFormatedOIB_1">  Stečajna masa iza GANTZ d.o.o. za usluge u stečaju, OIB 42737742220 zastupanog po punomoćniku Arnon Gantz</derivirana_varijabla>
  </DomainObject.Predmet.ProtustrankaFormatedOIB>
  <DomainObject.Predmet.ProtustrankaFormatedWithAdress>
    <izvorni_sadrzaj> Stečajna masa iza GANTZ d.o.o. za usluge u stečaju, A.B. Šimića 20, 21000 Split zastupanog po punomoćniku Arnon Gantz</izvorni_sadrzaj>
    <derivirana_varijabla naziv="DomainObject.Predmet.ProtustrankaFormatedWithAdress_1"> Stečajna masa iza GANTZ d.o.o. za usluge u stečaju, A.B. Šimića 20, 21000 Split zastupanog po punomoćniku Arnon Gantz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</izvorni_sadrzaj>
    <derivirana_varijabla naziv="DomainObject.Predmet.ProtustrankaFormatedWithAdressOIB_1"> Stečajna masa iza GANTZ d.o.o. za usluge u stečaju, OIB 42737742220, A.B. Šimića 20, 21000 Split zastupanog po punomoćniku Arnon Gantz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</item>
    </izvorni_sadrzaj>
    <derivirana_varijabla naziv="DomainObject.Predmet.ProtuStrankaListFormated_1">
      <item>Stečajna masa iza GANTZ d.o.o. za usluge u stečaju zastupanog po punomoćniku Arnon Gantz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</item>
    </izvorni_sadrzaj>
    <derivirana_varijabla naziv="DomainObject.Predmet.ProtuStrankaListFormatedOIB_1">
      <item>Stečajna masa iza GANTZ d.o.o. za usluge u stečaju, OIB 42737742220 zastupanog po punomoćniku Arnon Gantz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</item>
    </izvorni_sadrzaj>
    <derivirana_varijabla naziv="DomainObject.Predmet.ProtuStrankaListFormatedWithAdress_1">
      <item>Stečajna masa iza GANTZ d.o.o. za usluge u stečaju, A.B. Šimića 20, 21000 Split zastupanog po punomoćniku Arnon Gantz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</item>
    </izvorni_sadrzaj>
    <derivirana_varijabla naziv="DomainObject.Predmet.ProtuStrankaListFormatedWithAdressOIB_1">
      <item>Stečajna masa iza GANTZ d.o.o. za usluge u stečaju, OIB 42737742220, A.B. Šimića 20, 21000 Split zastupanog po punomoćniku Arnon Gantz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</izvorni_sadrzaj>
    <derivirana_varijabla naziv="DomainObject.Predmet.OstaliListNazivFormated_1">
      <item>Arnon Gantz</item>
      <item>Hrvatski Telekom d.d.</item>
      <item>Financijska agencija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</izvorni_sadrzaj>
    <derivirana_varijabla naziv="DomainObject.Predmet.OstaliListNazivFormatedOIB_1">
      <item>Arnon Gantz</item>
      <item>Hrvatski Telekom d.d., OIB 81793146560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null</item>
      <item>, OIB 18683136487</item>
      <item>, OIB 81793146560</item>
      <item>, OIB 85821130368</item>
    </izvorni_sadrzaj>
    <derivirana_varijabla naziv="DomainObject.Predmet.SudioniciListNazivOIB_1">
      <item>, OIB 42737742220</item>
      <item>, OIB null</item>
      <item>, OIB 18683136487</item>
      <item>, OIB 81793146560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2E12F6-9D04-4580-A715-945387C91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2631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2017-02-16T10:31:00Z</dcterms:created>
  <dc:creator>Diana Butigan Granić</dc:creator>
  <cp:lastModifiedBy>Katarina Franković</cp:lastModifiedBy>
  <cp:lastPrinted>2016-11-04T13:46:00Z</cp:lastPrinted>
  <dcterms:modified xmlns:xsi="http://www.w3.org/2001/XMLSchema-instance" xsi:type="dcterms:W3CDTF">2017-02-16T10:31:00Z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