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4ea6" w14:paraId="2d64ea6" w:rsidRDefault="0007218A" w:rsidP="0007218A" w:rsidR="0007218A">
      <w:pPr>
        <w:spacing w:after="80"/>
        <w:jc w:val="both"/>
        <w15:collapsed w:val="false"/>
        <w:rPr>
          <w:rFonts w:hAnsiTheme="minorHAnsi" w:asciiTheme="minorHAnsi" w:cs="Tahoma" w:eastAsia="Calibri"/>
          <w:sz w:val="26"/>
          <w:szCs w:val="26"/>
          <w:lang w:eastAsia="en-US" w:val="pl-PL"/>
        </w:rPr>
      </w:pPr>
      <w:bookmarkStart w:name="_GoBack" w:id="0"/>
      <w:bookmarkEnd w:id="0"/>
    </w:p>
    <w:p w:rsidRDefault="0007218A" w:rsidP="0007218A" w:rsidR="0007218A" w:rsidRPr="000A0760">
      <w:pPr>
        <w:spacing w:after="80"/>
        <w:jc w:val="both"/>
        <w:rPr>
          <w:rFonts w:cs="Tahoma" w:eastAsia="Calibri" w:hAnsi="Century Gothic" w:ascii="Century Gothic"/>
          <w:lang w:eastAsia="en-US"/>
        </w:rPr>
      </w:pPr>
      <w:r w:rsidRPr="000A0760">
        <w:rPr>
          <w:rFonts w:cs="Tahoma" w:eastAsia="Calibri" w:hAnsi="Century Gothic" w:ascii="Century Gothic"/>
          <w:lang w:eastAsia="en-US" w:val="pl-PL"/>
        </w:rPr>
        <w:t>Nadle</w:t>
      </w:r>
      <w:r w:rsidRPr="000A0760">
        <w:rPr>
          <w:rFonts w:cs="Tahoma" w:eastAsia="Calibri" w:hAnsi="Century Gothic" w:ascii="Century Gothic"/>
          <w:lang w:eastAsia="en-US"/>
        </w:rPr>
        <w:t>ž</w:t>
      </w:r>
      <w:r w:rsidRPr="000A0760">
        <w:rPr>
          <w:rFonts w:cs="Tahoma" w:eastAsia="Calibri" w:hAnsi="Century Gothic" w:ascii="Century Gothic"/>
          <w:lang w:eastAsia="en-US" w:val="pl-PL"/>
        </w:rPr>
        <w:t>ni</w:t>
      </w:r>
      <w:r w:rsidRPr="000A0760">
        <w:rPr>
          <w:rFonts w:cs="Tahoma" w:eastAsia="Calibri" w:hAnsi="Century Gothic" w:ascii="Century Gothic"/>
          <w:lang w:eastAsia="en-US"/>
        </w:rPr>
        <w:t xml:space="preserve"> </w:t>
      </w:r>
      <w:r w:rsidRPr="000A0760">
        <w:rPr>
          <w:rFonts w:cs="Tahoma" w:eastAsia="Calibri" w:hAnsi="Century Gothic" w:ascii="Century Gothic"/>
          <w:lang w:eastAsia="en-US" w:val="pl-PL"/>
        </w:rPr>
        <w:t>sud:</w:t>
      </w:r>
      <w:r w:rsidRPr="000A0760">
        <w:rPr>
          <w:rFonts w:cs="Tahoma" w:eastAsia="Calibri" w:hAnsi="Century Gothic" w:ascii="Century Gothic"/>
          <w:lang w:eastAsia="en-US"/>
        </w:rPr>
        <w:t xml:space="preserve"> </w:t>
      </w:r>
      <w:r w:rsidRPr="000A0760">
        <w:rPr>
          <w:rFonts w:cs="Tahoma" w:eastAsia="Calibri" w:hAnsi="Century Gothic" w:ascii="Century Gothic"/>
          <w:lang w:eastAsia="en-US"/>
        </w:rPr>
        <w:tab/>
      </w:r>
      <w:r w:rsidR="000A0760">
        <w:rPr>
          <w:rFonts w:cs="Tahoma" w:eastAsia="Calibri" w:hAnsi="Century Gothic" w:ascii="Century Gothic"/>
          <w:lang w:eastAsia="en-US"/>
        </w:rPr>
        <w:tab/>
      </w:r>
      <w:r w:rsidR="0024736A" w:rsidRPr="000A0760">
        <w:rPr>
          <w:rFonts w:cs="Tahoma" w:eastAsia="Calibri" w:hAnsi="Century Gothic" w:ascii="Century Gothic"/>
          <w:lang w:eastAsia="en-US"/>
        </w:rPr>
        <w:t>Trgovački</w:t>
      </w:r>
      <w:r w:rsidRPr="000A0760">
        <w:rPr>
          <w:rFonts w:cs="Tahoma" w:eastAsia="Calibri" w:hAnsi="Century Gothic" w:ascii="Century Gothic"/>
          <w:lang w:eastAsia="en-US"/>
        </w:rPr>
        <w:t xml:space="preserve"> sud u Za</w:t>
      </w:r>
      <w:r w:rsidR="0024736A" w:rsidRPr="000A0760">
        <w:rPr>
          <w:rFonts w:cs="Tahoma" w:eastAsia="Calibri" w:hAnsi="Century Gothic" w:ascii="Century Gothic"/>
          <w:lang w:eastAsia="en-US"/>
        </w:rPr>
        <w:t>g</w:t>
      </w:r>
      <w:r w:rsidRPr="000A0760">
        <w:rPr>
          <w:rFonts w:cs="Tahoma" w:eastAsia="Calibri" w:hAnsi="Century Gothic" w:ascii="Century Gothic"/>
          <w:lang w:eastAsia="en-US"/>
        </w:rPr>
        <w:t>r</w:t>
      </w:r>
      <w:r w:rsidR="0024736A" w:rsidRPr="000A0760">
        <w:rPr>
          <w:rFonts w:cs="Tahoma" w:eastAsia="Calibri" w:hAnsi="Century Gothic" w:ascii="Century Gothic"/>
          <w:lang w:eastAsia="en-US"/>
        </w:rPr>
        <w:t>eb</w:t>
      </w:r>
      <w:r w:rsidRPr="000A0760">
        <w:rPr>
          <w:rFonts w:cs="Tahoma" w:eastAsia="Calibri" w:hAnsi="Century Gothic" w:ascii="Century Gothic"/>
          <w:lang w:eastAsia="en-US"/>
        </w:rPr>
        <w:t>u</w:t>
      </w:r>
    </w:p>
    <w:p w:rsidRDefault="000A0760" w:rsidP="0007218A" w:rsidR="0007218A" w:rsidRPr="000A0760">
      <w:pPr>
        <w:spacing w:after="80"/>
        <w:jc w:val="both"/>
        <w:rPr>
          <w:rFonts w:cs="Tahoma" w:eastAsia="Calibri" w:hAnsi="Century Gothic" w:ascii="Century Gothic"/>
          <w:lang w:eastAsia="en-US" w:val="pl-PL"/>
        </w:rPr>
      </w:pPr>
      <w:r>
        <w:rPr>
          <w:rFonts w:cs="Tahoma" w:eastAsia="Calibri" w:hAnsi="Century Gothic" w:ascii="Century Gothic"/>
          <w:lang w:eastAsia="en-US" w:val="pl-PL"/>
        </w:rPr>
        <w:t>Poslovni broj:</w:t>
      </w:r>
      <w:r>
        <w:rPr>
          <w:rFonts w:cs="Tahoma" w:eastAsia="Calibri" w:hAnsi="Century Gothic" w:ascii="Century Gothic"/>
          <w:lang w:eastAsia="en-US" w:val="pl-PL"/>
        </w:rPr>
        <w:tab/>
      </w:r>
      <w:r>
        <w:rPr>
          <w:rFonts w:cs="Tahoma" w:eastAsia="Calibri" w:hAnsi="Century Gothic" w:ascii="Century Gothic"/>
          <w:lang w:eastAsia="en-US" w:val="pl-PL"/>
        </w:rPr>
        <w:tab/>
      </w:r>
      <w:r w:rsidR="0024736A" w:rsidRPr="000A0760">
        <w:rPr>
          <w:rFonts w:cs="Tahoma" w:eastAsia="Calibri" w:hAnsi="Century Gothic" w:ascii="Century Gothic"/>
          <w:lang w:eastAsia="en-US" w:val="pl-PL"/>
        </w:rPr>
        <w:t>20.</w:t>
      </w:r>
      <w:r w:rsidR="0007218A" w:rsidRPr="000A0760">
        <w:rPr>
          <w:rFonts w:cs="Tahoma" w:eastAsia="Calibri" w:hAnsi="Century Gothic" w:ascii="Century Gothic"/>
          <w:lang w:eastAsia="en-US" w:val="pl-PL"/>
        </w:rPr>
        <w:t xml:space="preserve"> </w:t>
      </w:r>
      <w:r w:rsidR="0024736A" w:rsidRPr="000A0760">
        <w:rPr>
          <w:rFonts w:cs="Tahoma" w:eastAsia="Calibri" w:hAnsi="Century Gothic" w:ascii="Century Gothic"/>
          <w:lang w:eastAsia="en-US" w:val="pl-PL"/>
        </w:rPr>
        <w:t>St</w:t>
      </w:r>
      <w:r w:rsidR="0007218A" w:rsidRPr="000A0760">
        <w:rPr>
          <w:rFonts w:cs="Tahoma" w:eastAsia="Calibri" w:hAnsi="Century Gothic" w:ascii="Century Gothic"/>
          <w:lang w:eastAsia="en-US" w:val="pl-PL"/>
        </w:rPr>
        <w:t>-</w:t>
      </w:r>
      <w:r w:rsidR="0024736A" w:rsidRPr="000A0760">
        <w:rPr>
          <w:rFonts w:cs="Tahoma" w:eastAsia="Calibri" w:hAnsi="Century Gothic" w:ascii="Century Gothic"/>
          <w:lang w:eastAsia="en-US" w:val="pl-PL"/>
        </w:rPr>
        <w:t>5</w:t>
      </w:r>
      <w:r w:rsidR="0007218A" w:rsidRPr="000A0760">
        <w:rPr>
          <w:rFonts w:cs="Tahoma" w:eastAsia="Calibri" w:hAnsi="Century Gothic" w:ascii="Century Gothic"/>
          <w:lang w:eastAsia="en-US" w:val="pl-PL"/>
        </w:rPr>
        <w:t>7</w:t>
      </w:r>
      <w:r w:rsidR="0024736A" w:rsidRPr="000A0760">
        <w:rPr>
          <w:rFonts w:cs="Tahoma" w:eastAsia="Calibri" w:hAnsi="Century Gothic" w:ascii="Century Gothic"/>
          <w:lang w:eastAsia="en-US" w:val="pl-PL"/>
        </w:rPr>
        <w:t>86</w:t>
      </w:r>
      <w:r w:rsidR="0007218A" w:rsidRPr="000A0760">
        <w:rPr>
          <w:rFonts w:cs="Tahoma" w:eastAsia="Calibri" w:hAnsi="Century Gothic" w:ascii="Century Gothic"/>
          <w:lang w:eastAsia="en-US" w:val="pl-PL"/>
        </w:rPr>
        <w:t>/1</w:t>
      </w:r>
      <w:r w:rsidR="0024736A" w:rsidRPr="000A0760">
        <w:rPr>
          <w:rFonts w:cs="Tahoma" w:eastAsia="Calibri" w:hAnsi="Century Gothic" w:ascii="Century Gothic"/>
          <w:lang w:eastAsia="en-US" w:val="pl-PL"/>
        </w:rPr>
        <w:t>6</w:t>
      </w:r>
      <w:r w:rsidR="0007218A" w:rsidRPr="000A0760">
        <w:rPr>
          <w:rFonts w:cs="Tahoma" w:eastAsia="Calibri" w:hAnsi="Century Gothic" w:ascii="Century Gothic"/>
          <w:lang w:eastAsia="en-US" w:val="pl-PL"/>
        </w:rPr>
        <w:t xml:space="preserve"> </w:t>
      </w:r>
    </w:p>
    <w:p w:rsidRDefault="000A0760" w:rsidP="0007218A" w:rsidR="000A0760">
      <w:pPr>
        <w:spacing w:after="80"/>
        <w:ind w:hanging="2835" w:left="2835"/>
        <w:jc w:val="both"/>
        <w:rPr>
          <w:rFonts w:cs="Tahoma" w:eastAsia="Calibri" w:hAnsi="Century Gothic" w:ascii="Century Gothic"/>
          <w:lang w:eastAsia="en-US" w:val="pl-PL"/>
        </w:rPr>
      </w:pPr>
      <w:r>
        <w:rPr>
          <w:rFonts w:cs="Tahoma" w:eastAsia="Calibri" w:hAnsi="Century Gothic" w:ascii="Century Gothic"/>
          <w:lang w:eastAsia="en-US" w:val="pl-PL"/>
        </w:rPr>
        <w:t>Stečajni dužnik:</w:t>
      </w:r>
      <w:r>
        <w:rPr>
          <w:rFonts w:cs="Tahoma" w:eastAsia="Calibri" w:hAnsi="Century Gothic" w:ascii="Century Gothic"/>
          <w:lang w:eastAsia="en-US" w:val="pl-PL"/>
        </w:rPr>
        <w:tab/>
      </w:r>
      <w:r w:rsidR="0007218A" w:rsidRPr="000A0760">
        <w:rPr>
          <w:rFonts w:cs="Tahoma" w:eastAsia="Calibri" w:hAnsi="Century Gothic" w:ascii="Century Gothic"/>
          <w:lang w:eastAsia="en-US" w:val="pl-PL"/>
        </w:rPr>
        <w:t xml:space="preserve">ATAL JAHT CHARTER doo u stečaju, </w:t>
      </w:r>
      <w:r>
        <w:rPr>
          <w:rFonts w:cs="Tahoma" w:eastAsia="Calibri" w:hAnsi="Century Gothic" w:ascii="Century Gothic"/>
          <w:lang w:eastAsia="en-US" w:val="pl-PL"/>
        </w:rPr>
        <w:t>Anićeva 1, Zagreb</w:t>
      </w:r>
    </w:p>
    <w:p w:rsidRDefault="000A0760" w:rsidP="0007218A" w:rsidR="0007218A" w:rsidRPr="000A0760">
      <w:pPr>
        <w:spacing w:after="80"/>
        <w:ind w:hanging="2835" w:left="2835"/>
        <w:jc w:val="both"/>
        <w:rPr>
          <w:rFonts w:cs="Tahoma" w:eastAsia="Calibri" w:hAnsi="Century Gothic" w:ascii="Century Gothic"/>
          <w:lang w:eastAsia="en-US" w:val="pl-PL"/>
        </w:rPr>
      </w:pPr>
      <w:r>
        <w:rPr>
          <w:rFonts w:cs="Tahoma" w:eastAsia="Calibri" w:hAnsi="Century Gothic" w:ascii="Century Gothic"/>
          <w:lang w:eastAsia="en-US" w:val="pl-PL"/>
        </w:rPr>
        <w:tab/>
      </w:r>
      <w:r w:rsidR="0007218A" w:rsidRPr="000A0760">
        <w:rPr>
          <w:rFonts w:cs="Tahoma" w:eastAsia="Calibri" w:hAnsi="Century Gothic" w:ascii="Century Gothic"/>
          <w:lang w:eastAsia="en-US" w:val="pl-PL"/>
        </w:rPr>
        <w:t>OIB 71617301885</w:t>
      </w:r>
    </w:p>
    <w:p w:rsidRDefault="0024736A" w:rsidP="0007218A" w:rsidR="0007218A" w:rsidRPr="000A0760">
      <w:pPr>
        <w:spacing w:after="80"/>
        <w:jc w:val="both"/>
        <w:rPr>
          <w:rFonts w:cs="Tahoma" w:eastAsia="Calibri" w:hAnsi="Century Gothic" w:ascii="Century Gothic"/>
          <w:lang w:eastAsia="en-US" w:val="pl-PL"/>
        </w:rPr>
      </w:pPr>
      <w:r w:rsidRPr="000A0760">
        <w:rPr>
          <w:rFonts w:cs="Tahoma" w:eastAsia="Calibri" w:hAnsi="Century Gothic" w:ascii="Century Gothic"/>
          <w:lang w:eastAsia="en-US" w:val="pl-PL"/>
        </w:rPr>
        <w:t>Datum:</w:t>
      </w:r>
      <w:r w:rsidRPr="000A0760">
        <w:rPr>
          <w:rFonts w:cs="Tahoma" w:eastAsia="Calibri" w:hAnsi="Century Gothic" w:ascii="Century Gothic"/>
          <w:lang w:eastAsia="en-US" w:val="pl-PL"/>
        </w:rPr>
        <w:tab/>
      </w:r>
      <w:r w:rsidRPr="000A0760">
        <w:rPr>
          <w:rFonts w:cs="Tahoma" w:eastAsia="Calibri" w:hAnsi="Century Gothic" w:ascii="Century Gothic"/>
          <w:lang w:eastAsia="en-US" w:val="pl-PL"/>
        </w:rPr>
        <w:tab/>
      </w:r>
      <w:r w:rsidR="000A0760">
        <w:rPr>
          <w:rFonts w:cs="Tahoma" w:eastAsia="Calibri" w:hAnsi="Century Gothic" w:ascii="Century Gothic"/>
          <w:lang w:eastAsia="en-US" w:val="pl-PL"/>
        </w:rPr>
        <w:tab/>
      </w:r>
      <w:r w:rsidR="00F67A40" w:rsidRPr="000A0760">
        <w:rPr>
          <w:rFonts w:cs="Tahoma" w:eastAsia="Calibri" w:hAnsi="Century Gothic" w:ascii="Century Gothic"/>
          <w:lang w:eastAsia="en-US" w:val="pl-PL"/>
        </w:rPr>
        <w:t>6</w:t>
      </w:r>
      <w:r w:rsidR="0007218A" w:rsidRPr="000A0760">
        <w:rPr>
          <w:rFonts w:cs="Tahoma" w:eastAsia="Calibri" w:hAnsi="Century Gothic" w:ascii="Century Gothic"/>
          <w:lang w:eastAsia="en-US" w:val="pl-PL"/>
        </w:rPr>
        <w:t>.</w:t>
      </w:r>
      <w:r w:rsidR="00F67A40" w:rsidRPr="000A0760">
        <w:rPr>
          <w:rFonts w:cs="Tahoma" w:eastAsia="Calibri" w:hAnsi="Century Gothic" w:ascii="Century Gothic"/>
          <w:lang w:eastAsia="en-US" w:val="pl-PL"/>
        </w:rPr>
        <w:t>04</w:t>
      </w:r>
      <w:r w:rsidR="0007218A" w:rsidRPr="000A0760">
        <w:rPr>
          <w:rFonts w:cs="Tahoma" w:eastAsia="Calibri" w:hAnsi="Century Gothic" w:ascii="Century Gothic"/>
          <w:lang w:eastAsia="en-US" w:val="pl-PL"/>
        </w:rPr>
        <w:t>.201</w:t>
      </w:r>
      <w:r w:rsidR="00F67A40" w:rsidRPr="000A0760">
        <w:rPr>
          <w:rFonts w:cs="Tahoma" w:eastAsia="Calibri" w:hAnsi="Century Gothic" w:ascii="Century Gothic"/>
          <w:lang w:eastAsia="en-US" w:val="pl-PL"/>
        </w:rPr>
        <w:t>8</w:t>
      </w:r>
      <w:r w:rsidR="0007218A" w:rsidRPr="000A0760">
        <w:rPr>
          <w:rFonts w:cs="Tahoma" w:eastAsia="Calibri" w:hAnsi="Century Gothic" w:ascii="Century Gothic"/>
          <w:lang w:eastAsia="en-US" w:val="pl-PL"/>
        </w:rPr>
        <w:t>.</w:t>
      </w:r>
    </w:p>
    <w:p w:rsidRDefault="00FA7350" w:rsidP="0007218A" w:rsidR="00FA7350">
      <w:pPr>
        <w:spacing w:after="80"/>
        <w:jc w:val="center"/>
        <w:rPr>
          <w:rFonts w:cs="Tahoma" w:eastAsia="Calibri" w:hAnsi="Century Gothic" w:ascii="Century Gothic"/>
          <w:b/>
          <w:lang w:eastAsia="en-US"/>
        </w:rPr>
      </w:pPr>
    </w:p>
    <w:p w:rsidRDefault="000A0760" w:rsidP="0007218A" w:rsidR="000A0760" w:rsidRPr="000A0760">
      <w:pPr>
        <w:spacing w:after="80"/>
        <w:jc w:val="center"/>
        <w:rPr>
          <w:rFonts w:cs="Tahoma" w:eastAsia="Calibri" w:hAnsi="Century Gothic" w:ascii="Century Gothic"/>
          <w:b/>
          <w:lang w:eastAsia="en-US"/>
        </w:rPr>
      </w:pPr>
    </w:p>
    <w:p w:rsidRDefault="00F67A40" w:rsidP="00F67A40" w:rsidR="00F67A40" w:rsidRPr="000A0760">
      <w:pPr>
        <w:spacing w:after="80"/>
        <w:jc w:val="both"/>
        <w:rPr>
          <w:rFonts w:cs="Tahoma" w:eastAsia="Calibri" w:hAnsi="Century Gothic" w:ascii="Century Gothic"/>
          <w:b/>
          <w:lang w:eastAsia="en-US"/>
        </w:rPr>
      </w:pPr>
      <w:r w:rsidRPr="000A0760">
        <w:rPr>
          <w:rFonts w:cs="Tahoma" w:eastAsia="Calibri" w:hAnsi="Century Gothic" w:ascii="Century Gothic"/>
          <w:b/>
          <w:lang w:eastAsia="en-US"/>
        </w:rPr>
        <w:t>Predmet: Prijava</w:t>
      </w:r>
    </w:p>
    <w:p w:rsidRDefault="00F67A40" w:rsidP="0007218A" w:rsidR="00F67A40" w:rsidRPr="000A0760">
      <w:pPr>
        <w:spacing w:after="80"/>
        <w:jc w:val="center"/>
        <w:rPr>
          <w:rFonts w:cs="Tahoma" w:eastAsia="Calibri" w:hAnsi="Century Gothic" w:ascii="Century Gothic"/>
          <w:b/>
          <w:lang w:eastAsia="en-US"/>
        </w:rPr>
      </w:pPr>
    </w:p>
    <w:p w:rsidRDefault="009D1532" w:rsidP="009D1532" w:rsidR="009D1532">
      <w:pPr>
        <w:spacing w:after="80"/>
        <w:jc w:val="both"/>
        <w:rPr>
          <w:rFonts w:cs="Tahoma" w:eastAsia="Calibri" w:hAnsi="Century Gothic" w:ascii="Century Gothic"/>
          <w:lang w:eastAsia="en-US"/>
        </w:rPr>
      </w:pPr>
      <w:r>
        <w:rPr>
          <w:rFonts w:cs="Tahoma" w:eastAsia="Calibri" w:hAnsi="Century Gothic" w:ascii="Century Gothic"/>
          <w:lang w:eastAsia="en-US"/>
        </w:rPr>
        <w:t>U ovom stečajnom postupku se imovina stečajnog dužnika sastojala od pokretnine (u naravi brodica</w:t>
      </w:r>
      <w:r w:rsidR="00B245B0">
        <w:rPr>
          <w:rFonts w:cs="Tahoma" w:eastAsia="Calibri" w:hAnsi="Century Gothic" w:ascii="Century Gothic"/>
          <w:lang w:eastAsia="en-US"/>
        </w:rPr>
        <w:t xml:space="preserve"> GALEON 390FLY</w:t>
      </w:r>
      <w:r>
        <w:rPr>
          <w:rFonts w:cs="Tahoma" w:eastAsia="Calibri" w:hAnsi="Century Gothic" w:ascii="Century Gothic"/>
          <w:lang w:eastAsia="en-US"/>
        </w:rPr>
        <w:t>) koja je oglašena i prodana, te je na taj način unovčena cjelokupna imovina stečajnog dužnika</w:t>
      </w:r>
      <w:r w:rsidR="00B245B0">
        <w:rPr>
          <w:rFonts w:cs="Tahoma" w:eastAsia="Calibri" w:hAnsi="Century Gothic" w:ascii="Century Gothic"/>
          <w:lang w:eastAsia="en-US"/>
        </w:rPr>
        <w:t xml:space="preserve"> (dalje: Imovina)</w:t>
      </w:r>
      <w:r>
        <w:rPr>
          <w:rFonts w:cs="Tahoma" w:eastAsia="Calibri" w:hAnsi="Century Gothic" w:ascii="Century Gothic"/>
          <w:lang w:eastAsia="en-US"/>
        </w:rPr>
        <w:t>.</w:t>
      </w:r>
    </w:p>
    <w:p w:rsidRDefault="00240260" w:rsidP="009D1532" w:rsidR="00240260">
      <w:pPr>
        <w:spacing w:after="80"/>
        <w:jc w:val="both"/>
        <w:rPr>
          <w:rFonts w:cs="Tahoma" w:eastAsia="Calibri" w:hAnsi="Century Gothic" w:ascii="Century Gothic"/>
          <w:lang w:eastAsia="en-US"/>
        </w:rPr>
      </w:pPr>
    </w:p>
    <w:p w:rsidRDefault="00B245B0" w:rsidP="009D1532" w:rsidR="009D1532">
      <w:pPr>
        <w:spacing w:after="80"/>
        <w:jc w:val="both"/>
        <w:rPr>
          <w:rFonts w:cs="Tahoma" w:eastAsia="Calibri" w:hAnsi="Century Gothic" w:ascii="Century Gothic"/>
          <w:lang w:eastAsia="en-US"/>
        </w:rPr>
      </w:pPr>
      <w:r>
        <w:rPr>
          <w:rFonts w:cs="Tahoma" w:eastAsia="Calibri" w:hAnsi="Century Gothic" w:ascii="Century Gothic"/>
          <w:lang w:eastAsia="en-US"/>
        </w:rPr>
        <w:t>Imovina je unovčena za sukladno najpovoljnijoj pristigloj ponudi u iznosu od 30.000 EUR,  odnosno kupcu je izdan račun na iznos od 227.191,55 kn, što je kupac platio u cijelosti.</w:t>
      </w:r>
    </w:p>
    <w:p w:rsidRDefault="00240260" w:rsidP="009D1532" w:rsidR="00240260">
      <w:pPr>
        <w:spacing w:after="80"/>
        <w:jc w:val="both"/>
        <w:rPr>
          <w:rFonts w:cs="Tahoma" w:eastAsia="Calibri" w:hAnsi="Century Gothic" w:ascii="Century Gothic"/>
          <w:lang w:eastAsia="en-US"/>
        </w:rPr>
      </w:pPr>
    </w:p>
    <w:p w:rsidRDefault="000A3D94" w:rsidP="009D1532" w:rsidR="000A3D94">
      <w:pPr>
        <w:spacing w:after="80"/>
        <w:jc w:val="both"/>
        <w:rPr>
          <w:rFonts w:cs="Tahoma" w:eastAsia="Calibri" w:hAnsi="Century Gothic" w:ascii="Century Gothic"/>
          <w:lang w:eastAsia="en-US"/>
        </w:rPr>
      </w:pPr>
      <w:r>
        <w:rPr>
          <w:rFonts w:cs="Tahoma" w:eastAsia="Calibri" w:hAnsi="Century Gothic" w:ascii="Century Gothic"/>
          <w:lang w:eastAsia="en-US"/>
        </w:rPr>
        <w:t>Stvarno nastali troškovi, nakon provedenih radnji, u ovom stečajnom postupku, prema čl. 254. Stečajnog zakona</w:t>
      </w:r>
      <w:r w:rsidR="00C32A81">
        <w:rPr>
          <w:rFonts w:cs="Tahoma" w:eastAsia="Calibri" w:hAnsi="Century Gothic" w:ascii="Century Gothic"/>
          <w:lang w:eastAsia="en-US"/>
        </w:rPr>
        <w:t xml:space="preserve"> (dalje: SZ)</w:t>
      </w:r>
      <w:r>
        <w:rPr>
          <w:rFonts w:cs="Tahoma" w:eastAsia="Calibri" w:hAnsi="Century Gothic" w:ascii="Century Gothic"/>
          <w:lang w:eastAsia="en-US"/>
        </w:rPr>
        <w:t xml:space="preserve"> iznose 89.899,35 kn i za sve su primljeni računi pružatelja usluga, odnosno putni nalozi i pripadajući obračuni putnih naloga.</w:t>
      </w:r>
    </w:p>
    <w:p w:rsidRDefault="00240260" w:rsidP="009D1532" w:rsidR="00240260">
      <w:pPr>
        <w:spacing w:after="80"/>
        <w:jc w:val="both"/>
        <w:rPr>
          <w:rFonts w:cs="Tahoma" w:eastAsia="Calibri" w:hAnsi="Century Gothic" w:ascii="Century Gothic"/>
          <w:lang w:eastAsia="en-US"/>
        </w:rPr>
      </w:pPr>
    </w:p>
    <w:p w:rsidRDefault="002D759F" w:rsidP="009D1532" w:rsidR="00240260">
      <w:pPr>
        <w:spacing w:after="80"/>
        <w:jc w:val="both"/>
        <w:rPr>
          <w:rFonts w:cs="Tahoma" w:eastAsia="Calibri" w:hAnsi="Century Gothic" w:ascii="Century Gothic"/>
          <w:lang w:eastAsia="en-US"/>
        </w:rPr>
      </w:pPr>
      <w:r>
        <w:rPr>
          <w:rFonts w:cs="Tahoma" w:eastAsia="Calibri" w:hAnsi="Century Gothic" w:ascii="Century Gothic"/>
          <w:lang w:eastAsia="en-US"/>
        </w:rPr>
        <w:t>Nakon odbitka troškova stečajnog postupka od kupovnine, ostao je iznos za djelomično namirenje razlučnog vjerovnika HETA Asset Resolution d.o.o. Ljubljana (kao prvi u redu prvenstva) u iznosu 125.932,72 kn. Za ostale vjerovnike u ovom stečajnom postupku sredstava za namiru nema.</w:t>
      </w:r>
    </w:p>
    <w:p w:rsidRDefault="002D759F" w:rsidP="009D1532" w:rsidR="002D759F">
      <w:pPr>
        <w:spacing w:after="80"/>
        <w:jc w:val="both"/>
        <w:rPr>
          <w:rFonts w:cs="Tahoma" w:eastAsia="Calibri" w:hAnsi="Century Gothic" w:ascii="Century Gothic"/>
          <w:lang w:eastAsia="en-US"/>
        </w:rPr>
      </w:pPr>
    </w:p>
    <w:p w:rsidRDefault="00C32A81" w:rsidP="009D1532" w:rsidR="009D1532">
      <w:pPr>
        <w:spacing w:after="80"/>
        <w:jc w:val="both"/>
        <w:rPr>
          <w:rFonts w:cs="Tahoma" w:eastAsia="Calibri" w:hAnsi="Century Gothic" w:ascii="Century Gothic"/>
          <w:lang w:eastAsia="en-US"/>
        </w:rPr>
      </w:pPr>
      <w:r>
        <w:rPr>
          <w:rFonts w:cs="Tahoma" w:eastAsia="Calibri" w:hAnsi="Century Gothic" w:ascii="Century Gothic"/>
          <w:lang w:eastAsia="en-US"/>
        </w:rPr>
        <w:t>Stoga stečajni upravitelj</w:t>
      </w:r>
      <w:r w:rsidR="00240260">
        <w:rPr>
          <w:rFonts w:cs="Tahoma" w:eastAsia="Calibri" w:hAnsi="Century Gothic" w:ascii="Century Gothic"/>
          <w:lang w:eastAsia="en-US"/>
        </w:rPr>
        <w:t>,</w:t>
      </w:r>
      <w:r>
        <w:rPr>
          <w:rFonts w:cs="Tahoma" w:eastAsia="Calibri" w:hAnsi="Century Gothic" w:ascii="Century Gothic"/>
          <w:lang w:eastAsia="en-US"/>
        </w:rPr>
        <w:t xml:space="preserve"> </w:t>
      </w:r>
      <w:r w:rsidR="00240260">
        <w:rPr>
          <w:rFonts w:cs="Tahoma" w:eastAsia="Calibri" w:hAnsi="Century Gothic" w:ascii="Century Gothic"/>
          <w:lang w:eastAsia="en-US"/>
        </w:rPr>
        <w:t>s</w:t>
      </w:r>
      <w:r w:rsidR="008D3106">
        <w:rPr>
          <w:rFonts w:cs="Tahoma" w:eastAsia="Calibri" w:hAnsi="Century Gothic" w:ascii="Century Gothic"/>
          <w:lang w:eastAsia="en-US"/>
        </w:rPr>
        <w:t>u</w:t>
      </w:r>
      <w:r w:rsidR="009D1532">
        <w:rPr>
          <w:rFonts w:cs="Tahoma" w:eastAsia="Calibri" w:hAnsi="Century Gothic" w:ascii="Century Gothic"/>
          <w:lang w:eastAsia="en-US"/>
        </w:rPr>
        <w:t>klad</w:t>
      </w:r>
      <w:r w:rsidR="008D3106">
        <w:rPr>
          <w:rFonts w:cs="Tahoma" w:eastAsia="Calibri" w:hAnsi="Century Gothic" w:ascii="Century Gothic"/>
          <w:lang w:eastAsia="en-US"/>
        </w:rPr>
        <w:t>no</w:t>
      </w:r>
      <w:r w:rsidR="009D1532">
        <w:rPr>
          <w:rFonts w:cs="Tahoma" w:eastAsia="Calibri" w:hAnsi="Century Gothic" w:ascii="Century Gothic"/>
          <w:lang w:eastAsia="en-US"/>
        </w:rPr>
        <w:t xml:space="preserve"> čl. 294.</w:t>
      </w:r>
      <w:r w:rsidR="001160DB">
        <w:rPr>
          <w:rFonts w:cs="Tahoma" w:eastAsia="Calibri" w:hAnsi="Century Gothic" w:ascii="Century Gothic"/>
          <w:lang w:eastAsia="en-US"/>
        </w:rPr>
        <w:t>,</w:t>
      </w:r>
      <w:r w:rsidR="00282925">
        <w:rPr>
          <w:rFonts w:cs="Tahoma" w:eastAsia="Calibri" w:hAnsi="Century Gothic" w:ascii="Century Gothic"/>
          <w:lang w:eastAsia="en-US"/>
        </w:rPr>
        <w:t xml:space="preserve"> st. 1, al. 1,</w:t>
      </w:r>
      <w:r w:rsidR="001160DB">
        <w:rPr>
          <w:rFonts w:cs="Tahoma" w:eastAsia="Calibri" w:hAnsi="Century Gothic" w:ascii="Century Gothic"/>
          <w:lang w:eastAsia="en-US"/>
        </w:rPr>
        <w:t xml:space="preserve"> </w:t>
      </w:r>
      <w:r w:rsidR="008D3106">
        <w:rPr>
          <w:rFonts w:cs="Tahoma" w:eastAsia="Calibri" w:hAnsi="Century Gothic" w:ascii="Century Gothic"/>
          <w:lang w:eastAsia="en-US"/>
        </w:rPr>
        <w:t>ovim putem</w:t>
      </w:r>
      <w:r w:rsidR="009D1532">
        <w:rPr>
          <w:rFonts w:cs="Tahoma" w:eastAsia="Calibri" w:hAnsi="Century Gothic" w:ascii="Century Gothic"/>
          <w:lang w:eastAsia="en-US"/>
        </w:rPr>
        <w:t xml:space="preserve"> podnosi prijav</w:t>
      </w:r>
      <w:r w:rsidR="008D3106">
        <w:rPr>
          <w:rFonts w:cs="Tahoma" w:eastAsia="Calibri" w:hAnsi="Century Gothic" w:ascii="Century Gothic"/>
          <w:lang w:eastAsia="en-US"/>
        </w:rPr>
        <w:t>u o nedostatnosti stečajne mase</w:t>
      </w:r>
      <w:r w:rsidR="00282925">
        <w:rPr>
          <w:rFonts w:cs="Tahoma" w:eastAsia="Calibri" w:hAnsi="Century Gothic" w:ascii="Century Gothic"/>
          <w:lang w:eastAsia="en-US"/>
        </w:rPr>
        <w:t xml:space="preserve"> jer je stečajna masa dostatna za namirenje troškova stečajnog postupka, ali nije dostatna </w:t>
      </w:r>
      <w:r w:rsidR="008D3106">
        <w:rPr>
          <w:rFonts w:cs="Tahoma" w:eastAsia="Calibri" w:hAnsi="Century Gothic" w:ascii="Century Gothic"/>
          <w:lang w:eastAsia="en-US"/>
        </w:rPr>
        <w:t xml:space="preserve">za ispunjenje </w:t>
      </w:r>
      <w:r w:rsidR="00282925">
        <w:rPr>
          <w:rFonts w:cs="Tahoma" w:eastAsia="Calibri" w:hAnsi="Century Gothic" w:ascii="Century Gothic"/>
          <w:lang w:eastAsia="en-US"/>
        </w:rPr>
        <w:t>ostalih dospijelih</w:t>
      </w:r>
      <w:r w:rsidR="008D3106">
        <w:rPr>
          <w:rFonts w:cs="Tahoma" w:eastAsia="Calibri" w:hAnsi="Century Gothic" w:ascii="Century Gothic"/>
          <w:lang w:eastAsia="en-US"/>
        </w:rPr>
        <w:t xml:space="preserve"> obveza stečajne mase.</w:t>
      </w:r>
    </w:p>
    <w:p w:rsidRDefault="009D1532" w:rsidP="009D1532" w:rsidR="009D1532" w:rsidRPr="000A0760">
      <w:pPr>
        <w:spacing w:after="80"/>
        <w:jc w:val="both"/>
        <w:rPr>
          <w:rFonts w:cs="Tahoma" w:eastAsia="Calibri" w:hAnsi="Century Gothic" w:ascii="Century Gothic"/>
          <w:lang w:eastAsia="en-US"/>
        </w:rPr>
      </w:pPr>
      <w:r>
        <w:rPr>
          <w:rFonts w:cs="Tahoma" w:eastAsia="Calibri" w:hAnsi="Century Gothic" w:ascii="Century Gothic"/>
          <w:lang w:eastAsia="en-US"/>
        </w:rPr>
        <w:t xml:space="preserve"> </w:t>
      </w:r>
    </w:p>
    <w:p w:rsidRDefault="000A0760" w:rsidP="00172568" w:rsidR="000A0760" w:rsidRPr="000A0760">
      <w:pPr>
        <w:pStyle w:val="tekst"/>
        <w:spacing w:lineRule="auto" w:line="360" w:afterAutospacing="false" w:after="0" w:beforeAutospacing="false" w:before="0"/>
        <w:jc w:val="both"/>
        <w:rPr>
          <w:rFonts w:hAnsi="Century Gothic" w:ascii="Century Gothic"/>
        </w:rPr>
      </w:pPr>
    </w:p>
    <w:p w:rsidRDefault="00172568" w:rsidP="00172568" w:rsidR="00172568" w:rsidRPr="000A0760">
      <w:pPr>
        <w:pStyle w:val="tekst"/>
        <w:spacing w:lineRule="auto" w:line="360" w:afterAutospacing="false" w:after="0" w:beforeAutospacing="false" w:before="0"/>
        <w:jc w:val="both"/>
        <w:rPr>
          <w:rFonts w:hAnsi="Century Gothic" w:ascii="Century Gothic"/>
        </w:rPr>
      </w:pPr>
      <w:r w:rsidRPr="000A0760">
        <w:rPr>
          <w:rFonts w:hAnsi="Century Gothic" w:ascii="Century Gothic"/>
        </w:rPr>
        <w:t xml:space="preserve">U Ivancu, </w:t>
      </w:r>
      <w:r w:rsidR="00240260">
        <w:rPr>
          <w:rFonts w:hAnsi="Century Gothic" w:ascii="Century Gothic"/>
        </w:rPr>
        <w:t>1</w:t>
      </w:r>
      <w:r w:rsidR="001160DB">
        <w:rPr>
          <w:rFonts w:hAnsi="Century Gothic" w:ascii="Century Gothic"/>
        </w:rPr>
        <w:t>6</w:t>
      </w:r>
      <w:r w:rsidRPr="000A0760">
        <w:rPr>
          <w:rFonts w:hAnsi="Century Gothic" w:ascii="Century Gothic"/>
        </w:rPr>
        <w:t>.</w:t>
      </w:r>
      <w:r w:rsidR="001160DB">
        <w:rPr>
          <w:rFonts w:hAnsi="Century Gothic" w:ascii="Century Gothic"/>
        </w:rPr>
        <w:t>0</w:t>
      </w:r>
      <w:r w:rsidR="00240260">
        <w:rPr>
          <w:rFonts w:hAnsi="Century Gothic" w:ascii="Century Gothic"/>
        </w:rPr>
        <w:t>7</w:t>
      </w:r>
      <w:r w:rsidRPr="000A0760">
        <w:rPr>
          <w:rFonts w:hAnsi="Century Gothic" w:ascii="Century Gothic"/>
        </w:rPr>
        <w:t>.201</w:t>
      </w:r>
      <w:r w:rsidR="001160DB">
        <w:rPr>
          <w:rFonts w:hAnsi="Century Gothic" w:ascii="Century Gothic"/>
        </w:rPr>
        <w:t>8</w:t>
      </w:r>
      <w:r w:rsidRPr="000A0760">
        <w:rPr>
          <w:rFonts w:hAnsi="Century Gothic" w:ascii="Century Gothic"/>
        </w:rPr>
        <w:t>.</w:t>
      </w:r>
    </w:p>
    <w:p w:rsidRDefault="00172568" w:rsidP="00172568" w:rsidR="001160DB">
      <w:pPr>
        <w:spacing w:lineRule="auto" w:line="288"/>
        <w:jc w:val="both"/>
        <w:rPr>
          <w:rFonts w:hAnsi="Century Gothic" w:ascii="Century Gothic"/>
        </w:rPr>
      </w:pPr>
      <w:r w:rsidRPr="000A0760">
        <w:rPr>
          <w:rFonts w:hAnsi="Century Gothic" w:ascii="Century Gothic"/>
        </w:rPr>
        <w:tab/>
      </w:r>
      <w:r w:rsidRPr="000A0760">
        <w:rPr>
          <w:rFonts w:hAnsi="Century Gothic" w:ascii="Century Gothic"/>
        </w:rPr>
        <w:tab/>
      </w:r>
      <w:r w:rsidRPr="000A0760">
        <w:rPr>
          <w:rFonts w:hAnsi="Century Gothic" w:ascii="Century Gothic"/>
        </w:rPr>
        <w:tab/>
      </w:r>
    </w:p>
    <w:p w:rsidRDefault="001160DB" w:rsidP="00172568" w:rsidR="001160DB">
      <w:pPr>
        <w:spacing w:lineRule="auto" w:line="288"/>
        <w:jc w:val="both"/>
        <w:rPr>
          <w:rFonts w:hAnsi="Century Gothic" w:ascii="Century Gothic"/>
        </w:rPr>
      </w:pPr>
    </w:p>
    <w:p w:rsidRDefault="001160DB" w:rsidP="00172568" w:rsidR="00172568" w:rsidRPr="000A0760">
      <w:pPr>
        <w:spacing w:lineRule="auto" w:line="28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="00172568" w:rsidRPr="000A0760">
        <w:rPr>
          <w:rFonts w:hAnsi="Century Gothic" w:ascii="Century Gothic"/>
        </w:rPr>
        <w:tab/>
      </w:r>
      <w:r w:rsidR="00172568" w:rsidRPr="000A0760">
        <w:rPr>
          <w:rFonts w:hAnsi="Century Gothic" w:ascii="Century Gothic"/>
        </w:rPr>
        <w:tab/>
      </w:r>
      <w:r w:rsidR="00172568" w:rsidRPr="000A0760">
        <w:rPr>
          <w:rFonts w:hAnsi="Century Gothic" w:ascii="Century Gothic"/>
        </w:rPr>
        <w:tab/>
        <w:t>ATAL JAHT CHARTER d.o.o. u stečaju Zagreb</w:t>
      </w:r>
    </w:p>
    <w:p w:rsidRDefault="00172568" w:rsidP="00172568" w:rsidR="00172568" w:rsidRPr="000A0760">
      <w:pPr>
        <w:spacing w:lineRule="auto" w:line="288"/>
        <w:ind w:firstLine="708" w:left="3540"/>
        <w:jc w:val="both"/>
        <w:rPr>
          <w:rFonts w:hAnsi="Century Gothic" w:ascii="Century Gothic"/>
        </w:rPr>
      </w:pPr>
      <w:r w:rsidRPr="000A0760">
        <w:rPr>
          <w:rFonts w:hAnsi="Century Gothic" w:ascii="Century Gothic"/>
        </w:rPr>
        <w:t>Dražen Vidman, stečajni upravitelj</w:t>
      </w:r>
    </w:p>
    <w:sectPr w:rsidSect="0043016A" w:rsidR="00172568" w:rsidRPr="000A0760">
      <w:headerReference w:type="default" r:id="rId10"/>
      <w:pgSz w:h="16838" w:w="11906"/>
      <w:pgMar w:gutter="0" w:footer="709" w:header="709" w:left="737" w:bottom="964" w:right="737" w:top="96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994" w:rsidP="002B03A4" w:rsidR="00D25994">
      <w:r>
        <w:separator/>
      </w:r>
    </w:p>
  </w:endnote>
  <w:endnote w:id="0" w:type="continuationSeparator">
    <w:p w:rsidRDefault="00D25994" w:rsidP="002B03A4" w:rsidR="00D25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994" w:rsidP="002B03A4" w:rsidR="00D25994">
      <w:r>
        <w:separator/>
      </w:r>
    </w:p>
  </w:footnote>
  <w:footnote w:id="0" w:type="continuationSeparator">
    <w:p w:rsidRDefault="00D25994" w:rsidP="002B03A4" w:rsidR="00D259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Style w:val="eSPISCCParagraphDefaultFont"/>
      </w:rPr>
      <w:alias w:val="Title"/>
      <w:id w:val="77738743"/>
      <w:placeholder>
        <w:docPart w:val="DE46D7DAE1C1443C9508223013F21785"/>
      </w:placeholder>
      <w:dataBinding w:storeItemID="{6C3C8BC8-F283-45AE-878A-BAB7291924A1}" w:xpath="/ns0:coreProperties[1]/ns1:title[1]" w:prefixMappings="xmlns:ns0='http://schemas.openxmlformats.org/package/2006/metadata/core-properties' xmlns:ns1='http://purl.org/dc/elements/1.1/'"/>
      <w:text/>
    </w:sdtPr>
    <w:sdtEndPr>
      <w:rPr>
        <w:rStyle w:val="eSPISCCParagraphDefaultFont"/>
      </w:rPr>
    </w:sdtEndPr>
    <w:sdtContent>
      <w:p w:rsidRDefault="00F6143B" w:rsidP="002B03A4" w:rsidR="002B03A4" w:rsidRPr="002B03A4">
        <w:pPr>
          <w:pStyle w:val="Zaglavlje"/>
          <w:pBdr>
            <w:bottom w:space="31" w:sz="24" w:themeShade="7F" w:themeColor="accent2" w:color="622423" w:val="thickThinSmallGap"/>
          </w:pBdr>
          <w:jc w:val="center"/>
          <w:rPr>
            <w:rFonts w:cstheme="majorBidi" w:eastAsiaTheme="majorEastAsia" w:hAnsiTheme="majorHAnsi" w:asciiTheme="majorHAnsi"/>
            <w:sz w:val="32"/>
            <w:szCs w:val="32"/>
          </w:rPr>
        </w:pPr>
        <w:r w:rsidRPr="00F3279B">
          <w:rPr>
            <w:rStyle w:val="eSPISCCParagraphDefaultFont"/>
          </w:rPr>
          <w:t>ATAL JAHT CHARTER d.o.o. u stečaju Zagreb                                                     Anićeva 1, OIB 71617301885, 20. St-5786/16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4D6E30"/>
    <w:multiLevelType w:val="hybridMultilevel"/>
    <w:tmpl w:val="EEF8591C"/>
    <w:lvl w:tplc="041A000F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235118CC"/>
    <w:multiLevelType w:val="hybridMultilevel"/>
    <w:tmpl w:val="CBAE5EF2"/>
    <w:lvl w:tplc="139CCE2A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  <w:i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C97111"/>
    <w:multiLevelType w:val="hybridMultilevel"/>
    <w:tmpl w:val="C68453D6"/>
    <w:lvl w:tplc="139CCE2A" w:ilvl="0">
      <w:numFmt w:val="bullet"/>
      <w:lvlText w:val="-"/>
      <w:lvlJc w:val="left"/>
      <w:pPr>
        <w:ind w:hanging="360" w:left="360"/>
      </w:pPr>
      <w:rPr>
        <w:rFonts w:cs="Times New Roman" w:eastAsia="Times New Roman" w:hAnsi="Century Gothic" w:ascii="Century Gothic" w:hint="default"/>
        <w:b/>
        <w:i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3B5B5399"/>
    <w:multiLevelType w:val="hybridMultilevel"/>
    <w:tmpl w:val="46F21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D174CE"/>
    <w:multiLevelType w:val="hybridMultilevel"/>
    <w:tmpl w:val="AF5CE5A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6818"/>
    <w:rsid w:val="00000E19"/>
    <w:rsid w:val="00015E79"/>
    <w:rsid w:val="000300F1"/>
    <w:rsid w:val="00070441"/>
    <w:rsid w:val="0007218A"/>
    <w:rsid w:val="00083B42"/>
    <w:rsid w:val="000A0760"/>
    <w:rsid w:val="000A15E9"/>
    <w:rsid w:val="000A3D94"/>
    <w:rsid w:val="000F2FEB"/>
    <w:rsid w:val="001160DB"/>
    <w:rsid w:val="001162B8"/>
    <w:rsid w:val="00154F01"/>
    <w:rsid w:val="00172568"/>
    <w:rsid w:val="00186337"/>
    <w:rsid w:val="001C5A12"/>
    <w:rsid w:val="00240260"/>
    <w:rsid w:val="0024736A"/>
    <w:rsid w:val="00250AC5"/>
    <w:rsid w:val="0027563A"/>
    <w:rsid w:val="00276E7C"/>
    <w:rsid w:val="00282925"/>
    <w:rsid w:val="00285CCC"/>
    <w:rsid w:val="002B03A4"/>
    <w:rsid w:val="002D759F"/>
    <w:rsid w:val="002F2593"/>
    <w:rsid w:val="003046BE"/>
    <w:rsid w:val="00321ECB"/>
    <w:rsid w:val="00337C1D"/>
    <w:rsid w:val="003652C8"/>
    <w:rsid w:val="00394AAB"/>
    <w:rsid w:val="0043016A"/>
    <w:rsid w:val="00510474"/>
    <w:rsid w:val="005272CC"/>
    <w:rsid w:val="00553D23"/>
    <w:rsid w:val="00596997"/>
    <w:rsid w:val="005B1E26"/>
    <w:rsid w:val="00614EE1"/>
    <w:rsid w:val="00625C98"/>
    <w:rsid w:val="006361FF"/>
    <w:rsid w:val="00645B77"/>
    <w:rsid w:val="00661241"/>
    <w:rsid w:val="00675D48"/>
    <w:rsid w:val="00684288"/>
    <w:rsid w:val="006D1B23"/>
    <w:rsid w:val="006F5173"/>
    <w:rsid w:val="007158AF"/>
    <w:rsid w:val="00723452"/>
    <w:rsid w:val="0075393F"/>
    <w:rsid w:val="00783384"/>
    <w:rsid w:val="0078593E"/>
    <w:rsid w:val="00790331"/>
    <w:rsid w:val="007A0B68"/>
    <w:rsid w:val="00803CAC"/>
    <w:rsid w:val="00835096"/>
    <w:rsid w:val="0085358B"/>
    <w:rsid w:val="008B72E5"/>
    <w:rsid w:val="008D3106"/>
    <w:rsid w:val="008F50A7"/>
    <w:rsid w:val="009021F3"/>
    <w:rsid w:val="0093754B"/>
    <w:rsid w:val="00962728"/>
    <w:rsid w:val="0099613E"/>
    <w:rsid w:val="009A5E96"/>
    <w:rsid w:val="009A67FE"/>
    <w:rsid w:val="009D1532"/>
    <w:rsid w:val="009D4E0F"/>
    <w:rsid w:val="009F376D"/>
    <w:rsid w:val="00A01C1C"/>
    <w:rsid w:val="00A11626"/>
    <w:rsid w:val="00A43A4D"/>
    <w:rsid w:val="00AC295B"/>
    <w:rsid w:val="00AE122C"/>
    <w:rsid w:val="00AF3A97"/>
    <w:rsid w:val="00B245B0"/>
    <w:rsid w:val="00B405B4"/>
    <w:rsid w:val="00B708A5"/>
    <w:rsid w:val="00B7148C"/>
    <w:rsid w:val="00B9624E"/>
    <w:rsid w:val="00BF0B35"/>
    <w:rsid w:val="00C32A81"/>
    <w:rsid w:val="00C32D29"/>
    <w:rsid w:val="00C37578"/>
    <w:rsid w:val="00C72ABB"/>
    <w:rsid w:val="00C766E6"/>
    <w:rsid w:val="00C85D3B"/>
    <w:rsid w:val="00C96818"/>
    <w:rsid w:val="00CD1BD9"/>
    <w:rsid w:val="00CE38C2"/>
    <w:rsid w:val="00D07F11"/>
    <w:rsid w:val="00D103EB"/>
    <w:rsid w:val="00D14508"/>
    <w:rsid w:val="00D25994"/>
    <w:rsid w:val="00DA0DB5"/>
    <w:rsid w:val="00DE5A3F"/>
    <w:rsid w:val="00E316D0"/>
    <w:rsid w:val="00E40869"/>
    <w:rsid w:val="00E67D6A"/>
    <w:rsid w:val="00EC6721"/>
    <w:rsid w:val="00F30495"/>
    <w:rsid w:val="00F3279B"/>
    <w:rsid w:val="00F34859"/>
    <w:rsid w:val="00F43E60"/>
    <w:rsid w:val="00F6143B"/>
    <w:rsid w:val="00F67A40"/>
    <w:rsid w:val="00FA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81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3D2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F3A9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B03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03A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2B03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2B03A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03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03A4"/>
    <w:rPr>
      <w:rFonts w:cs="Tahoma" w:eastAsia="Times New Roman" w:hAnsi="Tahoma" w:ascii="Tahoma"/>
      <w:sz w:val="16"/>
      <w:szCs w:val="16"/>
      <w:lang w:eastAsia="hr-HR"/>
    </w:rPr>
  </w:style>
  <w:style w:customStyle="true" w:styleId="tekst" w:type="paragraph">
    <w:name w:val="tekst"/>
    <w:basedOn w:val="Normal"/>
    <w:rsid w:val="009A5E9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32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79B"/>
    <w:rPr>
      <w:rFonts w:cs="Times New Roman" w:eastAsia="Calibri" w:hAnsi="Times New Roman" w:ascii="Times New Roman"/>
      <w:sz w:val="24"/>
      <w:szCs w:val="26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279B"/>
    <w:rPr>
      <w:rFonts w:hAnsiTheme="minorHAnsi" w:asciiTheme="minorHAnsi" w:cs="Tahoma" w:eastAsia="Calibri"/>
      <w:sz w:val="26"/>
      <w:szCs w:val="26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279B"/>
    <w:rPr>
      <w:rFonts w:hAnsiTheme="minorHAnsi" w:asciiTheme="minorHAnsi" w:cs="Tahoma" w:eastAsia="Calibri"/>
      <w:sz w:val="26"/>
      <w:szCs w:val="26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279B"/>
    <w:rPr>
      <w:rFonts w:hAnsiTheme="minorHAnsi" w:asciiTheme="minorHAnsi" w:cs="Tahoma" w:eastAsia="Calibri"/>
      <w:sz w:val="26"/>
      <w:szCs w:val="26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81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3D2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F3A9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B03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03A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2B03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2B03A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03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03A4"/>
    <w:rPr>
      <w:rFonts w:ascii="Tahoma" w:cs="Tahoma" w:eastAsia="Times New Roman" w:hAnsi="Tahoma"/>
      <w:sz w:val="16"/>
      <w:szCs w:val="16"/>
      <w:lang w:eastAsia="hr-HR"/>
    </w:rPr>
  </w:style>
  <w:style w:customStyle="1" w:styleId="tekst" w:type="paragraph">
    <w:name w:val="tekst"/>
    <w:basedOn w:val="Normal"/>
    <w:rsid w:val="009A5E9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32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79B"/>
    <w:rPr>
      <w:rFonts w:ascii="Times New Roman" w:cs="Times New Roman" w:eastAsia="Calibri" w:hAnsi="Times New Roman"/>
      <w:sz w:val="24"/>
      <w:szCs w:val="26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279B"/>
    <w:rPr>
      <w:rFonts w:asciiTheme="minorHAnsi" w:cs="Tahoma" w:eastAsia="Calibri" w:hAnsiTheme="minorHAnsi"/>
      <w:sz w:val="26"/>
      <w:szCs w:val="26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279B"/>
    <w:rPr>
      <w:rFonts w:asciiTheme="minorHAnsi" w:cs="Tahoma" w:eastAsia="Calibri" w:hAnsiTheme="minorHAnsi"/>
      <w:sz w:val="26"/>
      <w:szCs w:val="26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279B"/>
    <w:rPr>
      <w:rFonts w:asciiTheme="minorHAnsi" w:cs="Tahoma" w:eastAsia="Calibri" w:hAnsiTheme="minorHAnsi"/>
      <w:sz w:val="26"/>
      <w:szCs w:val="26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DE46D7DAE1C1443C9508223013F21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292453-D530-41F9-87EC-1192C03E8463}"/>
      </w:docPartPr>
      <w:docPartBody>
        <w:p w:rsidRDefault="0008663E" w:rsidP="0008663E" w:rsidR="00E14300">
          <w:pPr>
            <w:pStyle w:val="DE46D7DAE1C1443C9508223013F21785"/>
          </w:pPr>
          <w:r>
            <w:rPr>
              <w:rFonts w:cstheme="majorBidi" w:eastAsiaTheme="majorEastAsia" w:hAnsiTheme="majorHAnsi" w:asciiTheme="majorHAns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comments="false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8663E"/>
    <w:rsid w:val="0001269C"/>
    <w:rsid w:val="0008663E"/>
    <w:rsid w:val="00172657"/>
    <w:rsid w:val="001A3AC0"/>
    <w:rsid w:val="001A4C3D"/>
    <w:rsid w:val="00312762"/>
    <w:rsid w:val="00451BA3"/>
    <w:rsid w:val="007542E4"/>
    <w:rsid w:val="007E4F68"/>
    <w:rsid w:val="00974FC4"/>
    <w:rsid w:val="00983F44"/>
    <w:rsid w:val="00994A5C"/>
    <w:rsid w:val="00A3075F"/>
    <w:rsid w:val="00C66B8A"/>
    <w:rsid w:val="00E0474D"/>
    <w:rsid w:val="00E14300"/>
    <w:rsid w:val="00E31123"/>
    <w:rsid w:val="00EB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430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46D7DAE1C1443C9508223013F21785" w:type="paragraph">
    <w:name w:val="DE46D7DAE1C1443C9508223013F21785"/>
    <w:rsid w:val="0008663E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5DC95-2529-47DE-8D36-EB195FBF5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TOSHIBA</properties:Company>
  <properties:Pages>1</properties:Pages>
  <properties:Words>217</properties:Words>
  <properties:Characters>1261</properties:Characters>
  <properties:Lines>37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ATAL JAHT CHARTER d.o.o. u stečaju Zagreb                                                     Anićeva 1, OIB 71617301885, 20. St-5786/16</vt:lpstr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2018-07-23T12:22:00Z</dcterms:created>
  <dc:creator>Korisnik</dc:creator>
  <cp:lastModifiedBy>Monika Grbac</cp:lastModifiedBy>
  <cp:lastPrinted>2018-07-17T03:18:00Z</cp:lastPrinted>
  <dcterms:modified xmlns:xsi="http://www.w3.org/2001/XMLSchema-instance" xsi:type="dcterms:W3CDTF">2018-07-23T12:26:00Z</dcterms:modified>
  <cp:revision>3</cp:revision>
  <dc:title>ATAL JAHT CHARTER d.o.o. u stečaju Zagreb                                                     Anićeva 1, OIB 71617301885, 20. St-5786/16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St-5786/2016-42 / Podnesak - Podnesak (PRIJAVA.docx)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