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63f2a" w14:paraId="1363f2a" w:rsidRDefault="00937FF9" w:rsidP="00737DDE"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737DDE" w:rsidP="00737DDE" w:rsidR="00737DDE" w:rsidRPr="00737DDE">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737DDE">
        <w:rPr>
          <w:rFonts w:cs="Times New Roman" w:eastAsia="Times New Roman"/>
          <w:noProof/>
          <w:szCs w:val="20"/>
          <w:lang w:eastAsia="hr-HR"/>
        </w:rPr>
        <w:t>5 St-1370/2016-12</w:t>
      </w:r>
    </w:p>
    <w:p w:rsidRDefault="00737DDE" w:rsidP="00737DDE" w:rsidR="00737DDE" w:rsidRPr="00737DDE">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outlineLvl w:val="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outlineLvl w:val="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outlineLvl w:val="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outlineLvl w:val="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jc w:val="center"/>
        <w:outlineLvl w:val="0"/>
        <w:rPr>
          <w:rFonts w:cs="Times New Roman" w:eastAsia="Times New Roman"/>
          <w:noProof/>
          <w:szCs w:val="20"/>
          <w:lang w:eastAsia="hr-HR"/>
        </w:rPr>
      </w:pPr>
      <w:r w:rsidRPr="00737DDE">
        <w:rPr>
          <w:rFonts w:cs="Times New Roman" w:eastAsia="Times New Roman"/>
          <w:noProof/>
          <w:szCs w:val="20"/>
          <w:lang w:eastAsia="hr-HR"/>
        </w:rPr>
        <w:t>R E P U B L I K A  H R V A T S K A</w:t>
      </w:r>
    </w:p>
    <w:p w:rsidRDefault="00737DDE" w:rsidP="00737DDE" w:rsidR="00737DDE" w:rsidRPr="00737DDE">
      <w:pPr>
        <w:overflowPunct w:val="false"/>
        <w:autoSpaceDE w:val="false"/>
        <w:autoSpaceDN w:val="false"/>
        <w:adjustRightInd w:val="false"/>
        <w:spacing w:after="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jc w:val="center"/>
        <w:outlineLvl w:val="0"/>
        <w:rPr>
          <w:rFonts w:cs="Times New Roman" w:eastAsia="Times New Roman"/>
          <w:noProof/>
          <w:szCs w:val="20"/>
          <w:lang w:eastAsia="hr-HR"/>
        </w:rPr>
      </w:pPr>
      <w:r w:rsidRPr="00737DDE">
        <w:rPr>
          <w:rFonts w:cs="Times New Roman" w:eastAsia="Times New Roman"/>
          <w:noProof/>
          <w:szCs w:val="20"/>
          <w:lang w:eastAsia="hr-HR"/>
        </w:rPr>
        <w:t>R J E Š E N J E</w:t>
      </w:r>
    </w:p>
    <w:p w:rsidRDefault="00737DDE" w:rsidP="00737DDE" w:rsidR="00737DDE" w:rsidRPr="00737DDE">
      <w:pPr>
        <w:overflowPunct w:val="false"/>
        <w:autoSpaceDE w:val="false"/>
        <w:autoSpaceDN w:val="false"/>
        <w:adjustRightInd w:val="false"/>
        <w:spacing w:after="0"/>
        <w:jc w:val="center"/>
        <w:rPr>
          <w:rFonts w:cs="Times New Roman" w:eastAsia="Times New Roman"/>
          <w:b/>
          <w:noProof/>
          <w:szCs w:val="20"/>
          <w:lang w:eastAsia="hr-HR"/>
        </w:rPr>
      </w:pPr>
    </w:p>
    <w:p w:rsidRDefault="00737DDE" w:rsidP="00737DDE" w:rsidR="00737DDE" w:rsidRPr="00737DDE">
      <w:pPr>
        <w:overflowPunct w:val="false"/>
        <w:autoSpaceDE w:val="false"/>
        <w:autoSpaceDN w:val="false"/>
        <w:adjustRightInd w:val="false"/>
        <w:spacing w:after="0"/>
        <w:jc w:val="both"/>
        <w:rPr>
          <w:rFonts w:cs="Times New Roman" w:eastAsia="Times New Roman"/>
          <w:noProof/>
          <w:szCs w:val="20"/>
          <w:lang w:eastAsia="hr-HR"/>
        </w:rPr>
      </w:pPr>
      <w:r w:rsidRPr="00737DDE">
        <w:rPr>
          <w:rFonts w:cs="Times New Roman" w:eastAsia="Times New Roman"/>
          <w:noProof/>
          <w:szCs w:val="20"/>
          <w:lang w:eastAsia="hr-HR"/>
        </w:rPr>
        <w:tab/>
      </w:r>
      <w:r w:rsidRPr="00737DDE">
        <w:rPr>
          <w:rFonts w:cs="Times New Roman" w:eastAsia="Times New Roman"/>
          <w:szCs w:val="20"/>
          <w:lang w:eastAsia="hr-HR"/>
        </w:rPr>
        <w:t xml:space="preserve">TRGOVAČKI SUD U BJELOVARU, po stečajnom sucu Mariji Petrina Kubica, povodom prijedloga Fonda za zaštitu okoliša i energetsku učinkovitost iz Zagreba, Radnička cesta 80, OIB: 85828625994, za otvaranje stečajnog postupka nad dužnikom AUTO-CENT d.o.o. za trgovinu i usluge, Zagreb, Zagrebačka 217, OIB:  39533814082, MBS: 080585270, 7. ožujka </w:t>
      </w:r>
      <w:r w:rsidRPr="00737DDE">
        <w:rPr>
          <w:rFonts w:cs="Times New Roman" w:eastAsia="Times New Roman"/>
          <w:noProof/>
          <w:szCs w:val="20"/>
          <w:lang w:eastAsia="hr-HR"/>
        </w:rPr>
        <w:t xml:space="preserve">2017. </w:t>
      </w:r>
    </w:p>
    <w:p w:rsidRDefault="00737DDE" w:rsidP="00737DDE" w:rsidR="00737DDE" w:rsidRPr="00737DDE">
      <w:pPr>
        <w:overflowPunct w:val="false"/>
        <w:autoSpaceDE w:val="false"/>
        <w:autoSpaceDN w:val="false"/>
        <w:adjustRightInd w:val="false"/>
        <w:spacing w:after="0"/>
        <w:jc w:val="both"/>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jc w:val="center"/>
        <w:rPr>
          <w:rFonts w:cs="Times New Roman" w:eastAsia="Times New Roman"/>
          <w:szCs w:val="20"/>
          <w:lang w:eastAsia="hr-HR"/>
        </w:rPr>
      </w:pPr>
      <w:r w:rsidRPr="00737DDE">
        <w:rPr>
          <w:rFonts w:cs="Times New Roman" w:eastAsia="Times New Roman"/>
          <w:szCs w:val="20"/>
          <w:lang w:eastAsia="hr-HR"/>
        </w:rPr>
        <w:t>r i j e š i o   j e</w:t>
      </w:r>
    </w:p>
    <w:p w:rsidRDefault="00737DDE" w:rsidP="00737DDE" w:rsidR="00737DDE" w:rsidRPr="00737DDE">
      <w:pPr>
        <w:overflowPunct w:val="false"/>
        <w:autoSpaceDE w:val="false"/>
        <w:autoSpaceDN w:val="false"/>
        <w:adjustRightInd w:val="false"/>
        <w:spacing w:after="0"/>
        <w:jc w:val="both"/>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noProof/>
          <w:szCs w:val="20"/>
          <w:lang w:eastAsia="hr-HR"/>
        </w:rPr>
      </w:pPr>
      <w:r w:rsidRPr="00737DDE">
        <w:rPr>
          <w:rFonts w:cs="Times New Roman" w:eastAsia="Times New Roman"/>
          <w:szCs w:val="20"/>
          <w:lang w:eastAsia="hr-HR"/>
        </w:rPr>
        <w:t>I. Pozivaju se osobe koje imaju interes za provedbom stečajnog postupka nad dužnikom AUTO-CENT d.o.o. za trgovinu i usluge, Zagreb, Zagrebačka 217, da u roku od 15 dana, računajući od isteka osmog dana od objave ovog poziva na e-oglasnoj ploči suda, uplate predujam u iznosu od 30.000,00 kn, za namirenje pokrića troškova stečajnog postupka, na račun Trgovačkog suda u Bjelovaru IBAN: HR6123900011300000630</w:t>
      </w:r>
      <w:r w:rsidRPr="00737DDE">
        <w:rPr>
          <w:rFonts w:cs="Times New Roman" w:eastAsia="Times New Roman"/>
          <w:noProof/>
          <w:szCs w:val="20"/>
          <w:lang w:eastAsia="hr-HR"/>
        </w:rPr>
        <w:t xml:space="preserve"> model HR05 540-1370-16.</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II. Ako osobe iz </w:t>
      </w:r>
      <w:proofErr w:type="spellStart"/>
      <w:r w:rsidRPr="00737DDE">
        <w:rPr>
          <w:rFonts w:cs="Times New Roman" w:eastAsia="Times New Roman"/>
          <w:szCs w:val="20"/>
          <w:lang w:eastAsia="hr-HR"/>
        </w:rPr>
        <w:t>t.I</w:t>
      </w:r>
      <w:proofErr w:type="spellEnd"/>
      <w:r w:rsidRPr="00737DDE">
        <w:rPr>
          <w:rFonts w:cs="Times New Roman" w:eastAsia="Times New Roman"/>
          <w:szCs w:val="20"/>
          <w:lang w:eastAsia="hr-HR"/>
        </w:rPr>
        <w:t>. ne predujme traženi iznos u roku od 15 dana, sud će donijeti rješenje o otvaranju i zaključenju stečajnog postupka nad dužnikom.</w:t>
      </w: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jc w:val="center"/>
        <w:rPr>
          <w:rFonts w:cs="Times New Roman" w:eastAsia="Times New Roman"/>
          <w:szCs w:val="20"/>
          <w:lang w:eastAsia="hr-HR"/>
        </w:rPr>
      </w:pPr>
      <w:r w:rsidRPr="00737DDE">
        <w:rPr>
          <w:rFonts w:cs="Times New Roman" w:eastAsia="Times New Roman"/>
          <w:szCs w:val="20"/>
          <w:lang w:eastAsia="hr-HR"/>
        </w:rPr>
        <w:t>Obrazloženje</w:t>
      </w:r>
    </w:p>
    <w:p w:rsidRDefault="00737DDE" w:rsidP="00737DDE" w:rsidR="00737DDE" w:rsidRPr="00737DDE">
      <w:pPr>
        <w:overflowPunct w:val="false"/>
        <w:autoSpaceDE w:val="false"/>
        <w:autoSpaceDN w:val="false"/>
        <w:adjustRightInd w:val="false"/>
        <w:spacing w:after="0"/>
        <w:jc w:val="center"/>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Vjerovnik Fond za zaštitu okoliša i energetsku učinkovitost podnio je </w:t>
      </w:r>
      <w:r w:rsidRPr="00737DDE">
        <w:rPr>
          <w:rFonts w:cs="Times New Roman" w:eastAsia="Times New Roman"/>
          <w:noProof/>
          <w:szCs w:val="20"/>
          <w:lang w:eastAsia="hr-HR"/>
        </w:rPr>
        <w:t>sudu u skraćenom stečajnom postupku koji je pokrenula FINA, temeljem čl.430. Stečajnog zakona ("Narodne novine" broj 71/15, dalje: SZ), p</w:t>
      </w:r>
      <w:proofErr w:type="spellStart"/>
      <w:r w:rsidRPr="00737DDE">
        <w:rPr>
          <w:rFonts w:cs="Times New Roman" w:eastAsia="Times New Roman"/>
          <w:szCs w:val="20"/>
          <w:lang w:eastAsia="hr-HR"/>
        </w:rPr>
        <w:t>rijedlog</w:t>
      </w:r>
      <w:proofErr w:type="spellEnd"/>
      <w:r w:rsidRPr="00737DDE">
        <w:rPr>
          <w:rFonts w:cs="Times New Roman" w:eastAsia="Times New Roman"/>
          <w:szCs w:val="20"/>
          <w:lang w:eastAsia="hr-HR"/>
        </w:rPr>
        <w:t xml:space="preserve"> za otvaranje stečajnog postupka nad dužnikom i po pozivu suda uplatio je predujam u iznosu od 1.000,00 kn u Fond za namirenje troškova stečajnog postupka kao i dodatni predujam od 15.000,00 kn.</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 </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U zahtjevu za provedbu skraćenog stečajnog postupka, koji je podnijela FINA 27. siječnja 2016. navedeno je da na dan 1. rujna 2015. dužnik u Očevidniku redoslijeda osnova za plaćanje ima evidentirane neizvršene osnove za plaćanje u ukupnom iznosu od 439.742,48 kn, u koji iznos je uračunata kamata i naknada Financijske agencije za provedbu ovrhe na novčanim sredstvima. Iz navedenog proizlazi vjerojatnost postojanja stečajnog razloga nesposobnosti za plaćanje iz čl.6. st.2. SZ-a.</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noProof/>
          <w:szCs w:val="20"/>
          <w:lang w:eastAsia="hr-HR"/>
        </w:rPr>
      </w:pPr>
      <w:r w:rsidRPr="00737DDE">
        <w:rPr>
          <w:rFonts w:cs="Times New Roman" w:eastAsia="Times New Roman"/>
          <w:szCs w:val="20"/>
          <w:lang w:eastAsia="hr-HR"/>
        </w:rPr>
        <w:t xml:space="preserve">   </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Vjerovnik je uz prijedlog dostavio isprave - rješenja o plaćanju naknade za gospodarenje otpadnim gumama, rješenja o ovrsi i obračune kamata (list 16-318), iz kojih proizlazi vjerojatnost njegove tražbine od 178.756,13 kn te je, u smislu odredbe čl.109. st.1.-3. SZ-a, ovlašten podnijeti prijedlog za otvaranje stečajnog postupka. Slijedom navedenog sud je, temeljem čl.115. st.1. SZ-a, donio rješenje o pokretanju prethodnog postupka radi </w:t>
      </w:r>
      <w:r w:rsidRPr="00737DDE">
        <w:rPr>
          <w:rFonts w:cs="Times New Roman" w:eastAsia="Times New Roman"/>
          <w:szCs w:val="20"/>
          <w:lang w:eastAsia="hr-HR"/>
        </w:rPr>
        <w:lastRenderedPageBreak/>
        <w:t xml:space="preserve">utvrđivanja pretpostavki za otvaranje stečajnog postupka.  Istim rješenjem dužniku je postavljen privremeni stečajni upravitelj Vinko </w:t>
      </w:r>
      <w:proofErr w:type="spellStart"/>
      <w:r w:rsidRPr="00737DDE">
        <w:rPr>
          <w:rFonts w:cs="Times New Roman" w:eastAsia="Times New Roman"/>
          <w:szCs w:val="20"/>
          <w:lang w:eastAsia="hr-HR"/>
        </w:rPr>
        <w:t>Pečanić</w:t>
      </w:r>
      <w:proofErr w:type="spellEnd"/>
      <w:r w:rsidRPr="00737DDE">
        <w:rPr>
          <w:rFonts w:cs="Times New Roman" w:eastAsia="Times New Roman"/>
          <w:szCs w:val="20"/>
          <w:lang w:eastAsia="hr-HR"/>
        </w:rPr>
        <w:t xml:space="preserve"> i</w:t>
      </w:r>
      <w:r w:rsidRPr="00737DDE">
        <w:rPr>
          <w:rFonts w:cs="Times New Roman" w:eastAsia="Times New Roman"/>
          <w:i/>
          <w:szCs w:val="20"/>
          <w:lang w:eastAsia="hr-HR"/>
        </w:rPr>
        <w:t xml:space="preserve"> </w:t>
      </w:r>
      <w:r w:rsidRPr="00737DDE">
        <w:rPr>
          <w:rFonts w:cs="Times New Roman" w:eastAsia="Times New Roman"/>
          <w:szCs w:val="20"/>
          <w:lang w:eastAsia="hr-HR"/>
        </w:rPr>
        <w:t xml:space="preserve">zakazano je ročište radi izjašnjenja o prijedlogu i rasprave o uvjetima za otvaranje stečajnog postupka, na koje su pozvani predlagatelj Financijska agencija, zakonski zastupnik dužnika i privremeni stečajni upravitelj. </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u w:val="single"/>
          <w:lang w:eastAsia="hr-HR"/>
        </w:rPr>
      </w:pPr>
    </w:p>
    <w:p w:rsidRDefault="00737DDE" w:rsidP="00737DDE" w:rsidR="00737DDE" w:rsidRPr="00737DDE">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737DDE">
        <w:rPr>
          <w:rFonts w:cs="Times New Roman" w:eastAsia="Times New Roman"/>
          <w:noProof/>
          <w:szCs w:val="20"/>
          <w:lang w:eastAsia="hr-HR"/>
        </w:rPr>
        <w:t xml:space="preserve">Privremenom stečajom upravitelju je naloženo provesti potrebne radnje radi utvrđivanja postoji li razlog za otvaranje stečajnog postupka, kakvi su izgledi za nastavak poslovanja dužnika i mogu li se imovinom dužnika pokriti troškovi postupka. </w:t>
      </w:r>
    </w:p>
    <w:p w:rsidRDefault="00737DDE" w:rsidP="00737DDE" w:rsidR="00737DDE" w:rsidRPr="00737DDE">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Privremeni stečajni upravitelj podnio je pisano izvješće o gospodarsko-financijskom stanju dužnika (list 338-369) iz kojeg proizlazi da su kod dužnika ostvareni stečajni razlozi nesposobnosti za plaćanje i prezaduženosti. Dužnik u svom vlasništvu nema nekretnina niti motornih vozila. U poslovnim knjigama evidentirana je financijska imovina (potraživanja s osnove danih zajmova) u visini od 803.964,08 kn i potraživanja od kupaca u iznosu od 395.444,01 kn. Potraživanja od države su u poslovnim knjigama evidentirana u visini od 23.896,47 kn, no dug prema Poreznoj upravi na dan 7. prosinca 2016. iznosi 341.619,37 kn i izvjesno je da tražbina prema državi ne postoji. Zalihe iskazane u knjigovodstvenoj vrijednosti od 78.673,91 kn su sitni inventar koji ili ne postoji ili je beznačajne vrijednosti. </w:t>
      </w: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Na ročište radi izjašnjenja i rasprave o uvjetima za otvaranje stečajnog postupka, koje je održano 11. siječnja 2017., zakonski zastupnik dužnika Ivica </w:t>
      </w:r>
      <w:proofErr w:type="spellStart"/>
      <w:r w:rsidRPr="00737DDE">
        <w:rPr>
          <w:rFonts w:cs="Times New Roman" w:eastAsia="Times New Roman"/>
          <w:szCs w:val="20"/>
          <w:lang w:eastAsia="hr-HR"/>
        </w:rPr>
        <w:t>Čabraja</w:t>
      </w:r>
      <w:proofErr w:type="spellEnd"/>
      <w:r w:rsidRPr="00737DDE">
        <w:rPr>
          <w:rFonts w:cs="Times New Roman" w:eastAsia="Times New Roman"/>
          <w:szCs w:val="20"/>
          <w:lang w:eastAsia="hr-HR"/>
        </w:rPr>
        <w:t xml:space="preserve"> nije pristupio. Podneskom od 13. listopada 2016. zakonski zastupnik dužnika dao je izjavu da dužnik ima u vlasništvu </w:t>
      </w:r>
      <w:proofErr w:type="spellStart"/>
      <w:r w:rsidRPr="00737DDE">
        <w:rPr>
          <w:rFonts w:cs="Times New Roman" w:eastAsia="Times New Roman"/>
          <w:szCs w:val="20"/>
          <w:lang w:eastAsia="hr-HR"/>
        </w:rPr>
        <w:t>notebook</w:t>
      </w:r>
      <w:proofErr w:type="spellEnd"/>
      <w:r w:rsidRPr="00737DDE">
        <w:rPr>
          <w:rFonts w:cs="Times New Roman" w:eastAsia="Times New Roman"/>
          <w:szCs w:val="20"/>
          <w:lang w:eastAsia="hr-HR"/>
        </w:rPr>
        <w:t xml:space="preserve"> (nabavljen 2008.), kameru Samsung (nabavljenu 2009.) i uredski namještaj (nabavljen 2007). Navedene pokretnine nemaju knjigovodstvenu vrijednost. </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Privremeni stečajni upravitelj je na ročištu 11. siječnja 2017. naveo da je nakon danog pisanog izvješća o gospodarsko-financijskom stanju dužnika utvrdio kako pozajmicu koja je dana Autosalonu </w:t>
      </w:r>
      <w:proofErr w:type="spellStart"/>
      <w:r w:rsidRPr="00737DDE">
        <w:rPr>
          <w:rFonts w:cs="Times New Roman" w:eastAsia="Times New Roman"/>
          <w:szCs w:val="20"/>
          <w:lang w:eastAsia="hr-HR"/>
        </w:rPr>
        <w:t>Autostil</w:t>
      </w:r>
      <w:proofErr w:type="spellEnd"/>
      <w:r w:rsidRPr="00737DDE">
        <w:rPr>
          <w:rFonts w:cs="Times New Roman" w:eastAsia="Times New Roman"/>
          <w:szCs w:val="20"/>
          <w:lang w:eastAsia="hr-HR"/>
        </w:rPr>
        <w:t xml:space="preserve"> d.o.o. u iznosu od 788.964,08 kn nije moguće naplatiti odnosno navedeni iznos ne bi ušao u stečajnu masu jer je nad zajmoprimcem Autosalon </w:t>
      </w:r>
      <w:proofErr w:type="spellStart"/>
      <w:r w:rsidRPr="00737DDE">
        <w:rPr>
          <w:rFonts w:cs="Times New Roman" w:eastAsia="Times New Roman"/>
          <w:szCs w:val="20"/>
          <w:lang w:eastAsia="hr-HR"/>
        </w:rPr>
        <w:t>Autostil</w:t>
      </w:r>
      <w:proofErr w:type="spellEnd"/>
      <w:r w:rsidRPr="00737DDE">
        <w:rPr>
          <w:rFonts w:cs="Times New Roman" w:eastAsia="Times New Roman"/>
          <w:szCs w:val="20"/>
          <w:lang w:eastAsia="hr-HR"/>
        </w:rPr>
        <w:t xml:space="preserve"> d.o.o. Zagreb otvoren stečajni postupak i rješenjem Trgovačkog suda u Zagrebu br. St-776/14 od 13. srpnja 2015. utvrđene su tražbine II višeg isplatnog reda, među kojima nema tražbine dužnika. Navedeno znači da dužnik nije prijavio tražbinu, a osim toga u navedenom stečajnom postupku nad Autosalon </w:t>
      </w:r>
      <w:proofErr w:type="spellStart"/>
      <w:r w:rsidRPr="00737DDE">
        <w:rPr>
          <w:rFonts w:cs="Times New Roman" w:eastAsia="Times New Roman"/>
          <w:szCs w:val="20"/>
          <w:lang w:eastAsia="hr-HR"/>
        </w:rPr>
        <w:t>Autostil</w:t>
      </w:r>
      <w:proofErr w:type="spellEnd"/>
      <w:r w:rsidRPr="00737DDE">
        <w:rPr>
          <w:rFonts w:cs="Times New Roman" w:eastAsia="Times New Roman"/>
          <w:szCs w:val="20"/>
          <w:lang w:eastAsia="hr-HR"/>
        </w:rPr>
        <w:t xml:space="preserve"> d.o.o. Zagreb zakazano je ročište radi otvaranja i zaključenja stečajnog postupka. U odnosu na druga dva dana zajma od po 15.000,00 kn, za prvi zajam evidentiran na Servisnu prodaju centar Brod nije bilo moguće iz raspoloživih podataka utvrditi kome je u stvari zajam dan, dok je zajmoprimac drugog zajma Autocentar Požega sada Auto Posavina. U odnosu na potraživanja od kupaca, iz usmenih navoda zakonskog zastupnika dužnika Ivice </w:t>
      </w:r>
      <w:proofErr w:type="spellStart"/>
      <w:r w:rsidRPr="00737DDE">
        <w:rPr>
          <w:rFonts w:cs="Times New Roman" w:eastAsia="Times New Roman"/>
          <w:szCs w:val="20"/>
          <w:lang w:eastAsia="hr-HR"/>
        </w:rPr>
        <w:t>Čabraje</w:t>
      </w:r>
      <w:proofErr w:type="spellEnd"/>
      <w:r w:rsidRPr="00737DDE">
        <w:rPr>
          <w:rFonts w:cs="Times New Roman" w:eastAsia="Times New Roman"/>
          <w:szCs w:val="20"/>
          <w:lang w:eastAsia="hr-HR"/>
        </w:rPr>
        <w:t xml:space="preserve"> privremeni stečajni upravitelj je saznao da se radi o potraživanjima koja su sva u zastari te je upitno bi li se ta potraživanja i djelomično mogla naplatiti. </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Privremeni stečajni upravitelj predložio je da se pozovu osobe koje imaju pravni interes na uplatu daljnjeg predujma radi financiranja troškova stečajnog postupka. Po procjeni privremenog stečajnog upravitelja troškovi vođenja stečajnog postupka iznosili bi oko 30.000,00 kn, a odnosili bi se na knjigovodstvene usluge (12.000,00 kn), troškove otvaranja, zatvaranja i vođenja žiro-računa (1.000,00 kn), putne troškove (1.000,00 kn), nagradu stečajnog upravitelja (15.000,00 kn) i ostalo-pristojbe,poštarine i dr. (1.000,00 kn). Ukoliko netko od osoba koje imaju pravni interes uplati navedeni predujam, stečajni postupak bi se mogao provesti. U suprotnom privremeni stečajni upravitelj predlaže da se stečajni postupak otvori i istovremeno zaključi.</w:t>
      </w: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Fond za zaštitu okoliša i energetsku učinkovitost je po pozivu suda, sukladno odredbi čl.114. st.1. SZ-a, platio iznos od 15.000,00 na ime predujma za troškove stečajnog postupka. No navedeni iznos nije dostatan za pokriće troškova vođenja i prethodnog i stečajnog postupka.</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Na temelju izvješća privremenog stečajnog upravitelja i izjave zakonskog zastupnika dužnika sud zaključuje da dužnik ne raspolaže imovinom koja bi bila dovoljna za namirenje troškova prethodnog i stečajnog postupka te su ispunjeni uvjeti za otvaranje i zaključenje stečajnog postupka. </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Stoga su, sukladno odredbi čl.132. st.1. SZ-a, </w:t>
      </w:r>
      <w:r w:rsidRPr="00737DDE">
        <w:rPr>
          <w:rFonts w:cs="Times New Roman" w:eastAsia="Times New Roman"/>
          <w:noProof/>
          <w:szCs w:val="20"/>
          <w:lang w:eastAsia="hr-HR"/>
        </w:rPr>
        <w:t xml:space="preserve">pozvane </w:t>
      </w:r>
      <w:r w:rsidRPr="00737DDE">
        <w:rPr>
          <w:rFonts w:cs="Times New Roman" w:eastAsia="Times New Roman"/>
          <w:szCs w:val="20"/>
          <w:lang w:eastAsia="hr-HR"/>
        </w:rPr>
        <w:t>osobe koje imaju interes za provedbom stečajnog postupka da u roku od 15 dana uplate predujam za namirenje troškova stečajnog postupka u iznosu od 30.000,00 kn, uz upozorenje da će sud, ukoliko predujam ne bude plaćen u roku od 15 dana, donijeti rješenje o otvaranju i zaključenju stečajnog postupka nad dužnikom.</w:t>
      </w: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851"/>
        <w:jc w:val="both"/>
        <w:rPr>
          <w:rFonts w:cs="Times New Roman" w:eastAsia="Times New Roman"/>
          <w:szCs w:val="20"/>
          <w:lang w:eastAsia="hr-HR"/>
        </w:rPr>
      </w:pPr>
      <w:r w:rsidRPr="00737DDE">
        <w:rPr>
          <w:rFonts w:cs="Times New Roman" w:eastAsia="Times New Roman"/>
          <w:szCs w:val="20"/>
          <w:lang w:eastAsia="hr-HR"/>
        </w:rPr>
        <w:t xml:space="preserve">Slijedom navedenog riješeno je kao u izreci. </w:t>
      </w: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jc w:val="center"/>
        <w:rPr>
          <w:rFonts w:cs="Times New Roman" w:eastAsia="Times New Roman"/>
          <w:szCs w:val="20"/>
          <w:lang w:eastAsia="hr-HR"/>
        </w:rPr>
      </w:pPr>
      <w:r w:rsidRPr="00737DDE">
        <w:rPr>
          <w:rFonts w:cs="Times New Roman" w:eastAsia="Times New Roman"/>
          <w:szCs w:val="20"/>
          <w:lang w:eastAsia="hr-HR"/>
        </w:rPr>
        <w:t>U Bjelovaru, 7. ožujka 2017.</w:t>
      </w: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ind w:firstLine="5103"/>
        <w:jc w:val="both"/>
        <w:rPr>
          <w:rFonts w:cs="Times New Roman" w:eastAsia="Times New Roman"/>
          <w:szCs w:val="20"/>
          <w:lang w:eastAsia="hr-HR"/>
        </w:rPr>
      </w:pPr>
      <w:r w:rsidRPr="00737DDE">
        <w:rPr>
          <w:rFonts w:cs="Times New Roman" w:eastAsia="Times New Roman"/>
          <w:szCs w:val="20"/>
          <w:lang w:eastAsia="hr-HR"/>
        </w:rPr>
        <w:t xml:space="preserve">   STEČAJNI SUDAC</w:t>
      </w:r>
    </w:p>
    <w:p w:rsidRDefault="00737DDE" w:rsidP="00737DDE" w:rsidR="00737DDE" w:rsidRPr="00737DDE">
      <w:pPr>
        <w:overflowPunct w:val="false"/>
        <w:autoSpaceDE w:val="false"/>
        <w:autoSpaceDN w:val="false"/>
        <w:adjustRightInd w:val="false"/>
        <w:spacing w:after="0"/>
        <w:ind w:firstLine="4820"/>
        <w:jc w:val="both"/>
        <w:rPr>
          <w:rFonts w:cs="Times New Roman" w:eastAsia="Times New Roman"/>
          <w:szCs w:val="20"/>
          <w:lang w:eastAsia="hr-HR"/>
        </w:rPr>
      </w:pPr>
      <w:r w:rsidRPr="00737DDE">
        <w:rPr>
          <w:rFonts w:cs="Times New Roman" w:eastAsia="Times New Roman"/>
          <w:szCs w:val="20"/>
          <w:lang w:eastAsia="hr-HR"/>
        </w:rPr>
        <w:t>MARIJA PETRINA KUBICA v.r.</w:t>
      </w:r>
    </w:p>
    <w:p w:rsidRDefault="00737DDE" w:rsidP="00737DDE" w:rsidR="00737DDE" w:rsidRPr="00737DDE">
      <w:pPr>
        <w:overflowPunct w:val="false"/>
        <w:autoSpaceDE w:val="false"/>
        <w:autoSpaceDN w:val="false"/>
        <w:adjustRightInd w:val="false"/>
        <w:spacing w:after="0"/>
        <w:ind w:firstLine="4820"/>
        <w:jc w:val="both"/>
        <w:rPr>
          <w:rFonts w:cs="Times New Roman" w:eastAsia="Times New Roman"/>
          <w:szCs w:val="20"/>
          <w:lang w:eastAsia="hr-HR"/>
        </w:rPr>
      </w:pPr>
    </w:p>
    <w:p w:rsidRDefault="00737DDE" w:rsidP="00737DDE" w:rsidR="00737DDE" w:rsidRPr="00737DDE">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37DDE">
        <w:rPr>
          <w:rFonts w:cs="Times New Roman" w:eastAsia="Times New Roman"/>
          <w:noProof/>
          <w:szCs w:val="20"/>
          <w:lang w:eastAsia="hr-HR"/>
        </w:rPr>
        <w:t>Za točnost otpravka-</w:t>
      </w:r>
    </w:p>
    <w:p w:rsidRDefault="00737DDE" w:rsidP="00737DDE" w:rsidR="00737DDE" w:rsidRPr="00737DDE">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37DDE">
        <w:rPr>
          <w:rFonts w:cs="Times New Roman" w:eastAsia="Times New Roman"/>
          <w:noProof/>
          <w:szCs w:val="20"/>
          <w:lang w:eastAsia="hr-HR"/>
        </w:rPr>
        <w:t>ovlašteni službenik</w:t>
      </w:r>
    </w:p>
    <w:p w:rsidRDefault="00737DDE" w:rsidP="00737DDE" w:rsidR="00737DDE" w:rsidRPr="00737DDE">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737DDE">
        <w:rPr>
          <w:rFonts w:cs="Times New Roman" w:eastAsia="Times New Roman"/>
          <w:noProof/>
          <w:szCs w:val="20"/>
          <w:lang w:eastAsia="hr-HR"/>
        </w:rPr>
        <w:t xml:space="preserve">     Željka Vitez</w:t>
      </w:r>
    </w:p>
    <w:p w:rsidRDefault="00737DDE" w:rsidP="00737DDE" w:rsidR="00737DDE" w:rsidRPr="00737DDE">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737DDE" w:rsidP="00737DDE" w:rsidR="00737DDE" w:rsidRPr="00737DDE">
      <w:pPr>
        <w:overflowPunct w:val="false"/>
        <w:autoSpaceDE w:val="false"/>
        <w:autoSpaceDN w:val="false"/>
        <w:adjustRightInd w:val="false"/>
        <w:spacing w:after="0"/>
        <w:ind w:firstLine="4820" w:left="5387"/>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p>
    <w:p w:rsidRDefault="00737DDE" w:rsidP="00737DDE" w:rsidR="00737DDE" w:rsidRPr="00737DDE">
      <w:pPr>
        <w:overflowPunct w:val="false"/>
        <w:autoSpaceDE w:val="false"/>
        <w:autoSpaceDN w:val="false"/>
        <w:adjustRightInd w:val="false"/>
        <w:spacing w:after="0"/>
        <w:jc w:val="both"/>
        <w:rPr>
          <w:rFonts w:cs="Times New Roman" w:eastAsia="Times New Roman"/>
          <w:szCs w:val="20"/>
          <w:lang w:eastAsia="hr-HR"/>
        </w:rPr>
      </w:pPr>
      <w:r w:rsidRPr="00737DDE">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37DD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2052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St-1370/2016-12</izvorni_sadrzaj>
    <derivirana_varijabla naziv="DomainObject.Oznaka_1">St-1370/2016-12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1370</izvorni_sadrzaj>
    <derivirana_varijabla naziv="DomainObject.Predmet.Broj_1">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St-1370/2016</izvorni_sadrzaj>
    <derivirana_varijabla naziv="DomainObject.Predmet.OznakaBroj_1">St-1370/2016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 d.o.o.</izvorni_sadrzaj>
    <derivirana_varijabla naziv="DomainObject.Predmet.ProtustrankaFormated_1">  AUTO-CENT d.o.o.</derivirana_varijabla>
  </DomainObject.Predmet.ProtustrankaFormated>
  <DomainObject.Predmet.ProtustrankaFormatedOIB>
    <izvorni_sadrzaj>  AUTO-CENT d.o.o., OIB 39533814082</izvorni_sadrzaj>
    <derivirana_varijabla naziv="DomainObject.Predmet.ProtustrankaFormatedOIB_1">  AUTO-CENT d.o.o., OIB 39533814082</derivirana_varijabla>
  </DomainObject.Predmet.ProtustrankaFormatedOIB>
  <DomainObject.Predmet.ProtustrankaFormatedWithAdress>
    <izvorni_sadrzaj> AUTO-CENT d.o.o., Zagrebačka 217, 10000 Zagreb</izvorni_sadrzaj>
    <derivirana_varijabla naziv="DomainObject.Predmet.ProtustrankaFormatedWithAdress_1"> AUTO-CENT d.o.o., Zagrebačka 217, 10000 Zagreb</derivirana_varijabla>
  </DomainObject.Predmet.ProtustrankaFormatedWithAdress>
  <DomainObject.Predmet.ProtustrankaFormatedWithAdressOIB>
    <izvorni_sadrzaj> AUTO-CENT d.o.o., OIB 39533814082, Zagrebačka 217, 10000 Zagreb</izvorni_sadrzaj>
    <derivirana_varijabla naziv="DomainObject.Predmet.ProtustrankaFormatedWithAdressOIB_1"> AUTO-CENT d.o.o., OIB 39533814082, Zagrebačka 217, 10000 Zagreb</derivirana_varijabla>
  </DomainObject.Predmet.ProtustrankaFormatedWithAdressOIB>
  <DomainObject.Predmet.ProtustrankaWithAdress>
    <izvorni_sadrzaj>AUTO-CENT d.o.o. Zagrebačka 217, 10000 Zagreb</izvorni_sadrzaj>
    <derivirana_varijabla naziv="DomainObject.Predmet.ProtustrankaWithAdress_1">AUTO-CENT d.o.o. Zagrebačka 217, 10000 Zagreb</derivirana_varijabla>
  </DomainObject.Predmet.ProtustrankaWithAdress>
  <DomainObject.Predmet.ProtustrankaWithAdressOIB>
    <izvorni_sadrzaj>AUTO-CENT d.o.o., OIB 39533814082, Zagrebačka 217, 10000 Zagreb</izvorni_sadrzaj>
    <derivirana_varijabla naziv="DomainObject.Predmet.ProtustrankaWithAdressOIB_1">AUTO-CENT d.o.o., OIB 39533814082, Zagrebačka 217, 10000 Zagreb</derivirana_varijabla>
  </DomainObject.Predmet.ProtustrankaWithAdressOIB>
  <DomainObject.Predmet.ProtustrankaNazivFormated>
    <izvorni_sadrzaj>AUTO-CENT d.o.o.</izvorni_sadrzaj>
    <derivirana_varijabla naziv="DomainObject.Predmet.ProtustrankaNazivFormated_1">AUTO-CENT d.o.o.</derivirana_varijabla>
  </DomainObject.Predmet.ProtustrankaNazivFormated>
  <DomainObject.Predmet.ProtustrankaNazivFormatedOIB>
    <izvorni_sadrzaj>AUTO-CENT d.o.o., OIB 39533814082</izvorni_sadrzaj>
    <derivirana_varijabla naziv="DomainObject.Predmet.ProtustrankaNazivFormatedOIB_1">AUTO-CENT d.o.o., OIB 39533814082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AUTO-CENT d.o.o.</item>
    </izvorni_sadrzaj>
    <derivirana_varijabla naziv="DomainObject.Predmet.ProtuStrankaListFormated_1">
      <item>AUTO-CENT d.o.o.</item>
    </derivirana_varijabla>
  </DomainObject.Predmet.ProtuStrankaListFormated>
  <DomainObject.Predmet.ProtuStrankaListFormatedOIB>
    <izvorni_sadrzaj>
      <item>AUTO-CENT d.o.o., OIB 39533814082</item>
    </izvorni_sadrzaj>
    <derivirana_varijabla naziv="DomainObject.Predmet.ProtuStrankaListFormatedOIB_1">
      <item>AUTO-CENT d.o.o., OIB 39533814082</item>
    </derivirana_varijabla>
  </DomainObject.Predmet.ProtuStrankaListFormatedOIB>
  <DomainObject.Predmet.ProtuStrankaListFormatedWithAdress>
    <izvorni_sadrzaj>
      <item>AUTO-CENT d.o.o., Zagrebačka 217, 10000 Zagreb</item>
    </izvorni_sadrzaj>
    <derivirana_varijabla naziv="DomainObject.Predmet.ProtuStrankaListFormatedWithAdress_1">
      <item>AUTO-CENT d.o.o., Zagrebačka 217, 10000 Zagreb</item>
    </derivirana_varijabla>
  </DomainObject.Predmet.ProtuStrankaListFormatedWithAdress>
  <DomainObject.Predmet.ProtuStrankaListFormatedWithAdressOIB>
    <izvorni_sadrzaj>
      <item>AUTO-CENT d.o.o., OIB 39533814082, Zagrebačka 217, 10000 Zagreb</item>
    </izvorni_sadrzaj>
    <derivirana_varijabla naziv="DomainObject.Predmet.ProtuStrankaListFormatedWithAdressOIB_1">
      <item>AUTO-CENT d.o.o., OIB 39533814082, Zagrebačka 217, 10000 Zagreb</item>
    </derivirana_varijabla>
  </DomainObject.Predmet.ProtuStrankaListFormatedWithAdressOIB>
  <DomainObject.Predmet.ProtuStrankaListNazivFormated>
    <izvorni_sadrzaj>
      <item>AUTO-CENT d.o.o.</item>
    </izvorni_sadrzaj>
    <derivirana_varijabla naziv="DomainObject.Predmet.ProtuStrankaListNazivFormated_1">
      <item>AUTO-CENT d.o.o.</item>
    </derivirana_varijabla>
  </DomainObject.Predmet.ProtuStrankaListNazivFormated>
  <DomainObject.Predmet.ProtuStrankaListNazivFormatedOIB>
    <izvorni_sadrzaj>
      <item>AUTO-CENT d.o.o., OIB 39533814082</item>
    </izvorni_sadrzaj>
    <derivirana_varijabla naziv="DomainObject.Predmet.ProtuStrankaListNazivFormatedOIB_1">
      <item>AUTO-CENT d.o.o., OIB 39533814082</item>
    </derivirana_varijabla>
  </DomainObject.Predmet.ProtuStrankaListNazivFormatedOIB>
  <DomainObject.Predmet.OstaliListFormated>
    <izvorni_sadrzaj>
      <item>IVICA ČABRAJA</item>
      <item>Vinko Pečanić</item>
    </izvorni_sadrzaj>
    <derivirana_varijabla naziv="DomainObject.Predmet.OstaliListFormated_1">
      <item>IVICA ČABRAJA</item>
      <item>Vinko Pečanić</item>
    </derivirana_varijabla>
  </DomainObject.Predmet.OstaliListFormated>
  <DomainObject.Predmet.OstaliListFormatedOIB>
    <izvorni_sadrzaj>
      <item>IVICA ČABRAJA, OIB 33936852113</item>
      <item>Vinko Pečanić, OIB 03918439681</item>
    </izvorni_sadrzaj>
    <derivirana_varijabla naziv="DomainObject.Predmet.OstaliListFormatedOIB_1">
      <item>IVICA ČABRAJA, OIB 33936852113</item>
      <item>Vinko Pečanić, OIB 03918439681</item>
    </derivirana_varijabla>
  </DomainObject.Predmet.OstaliListFormatedOIB>
  <DomainObject.Predmet.OstaliListFormatedWithAdress>
    <izvorni_sadrzaj>
      <item>IVICA ČABRAJA, Zagrebačka cesta 74, 10000 Zagreb</item>
      <item>Vinko Pečanić, Frankopanska 17, 34551 Lipik</item>
    </izvorni_sadrzaj>
    <derivirana_varijabla naziv="DomainObject.Predmet.OstaliListFormatedWithAdress_1">
      <item>IVICA ČABRAJA, Zagrebačka cesta 74, 10000 Zagreb</item>
      <item>Vinko Pečanić, Frankopanska 17, 34551 Lipik</item>
    </derivirana_varijabla>
  </DomainObject.Predmet.OstaliListFormatedWithAdress>
  <DomainObject.Predmet.OstaliListFormatedWithAdressOIB>
    <izvorni_sadrzaj>
      <item>IVICA ČABRAJA, OIB 33936852113, Zagrebačka cesta 74, 10000 Zagreb</item>
      <item>Vinko Pečanić, OIB 03918439681, Frankopanska 17, 34551 Lipik</item>
    </izvorni_sadrzaj>
    <derivirana_varijabla naziv="DomainObject.Predmet.OstaliListFormatedWithAdressOIB_1">
      <item>IVICA ČABRAJA, OIB 33936852113, Zagrebačka cesta 74, 10000 Zagreb</item>
      <item>Vinko Pečanić, OIB 03918439681, Frankopanska 17, 34551 Lipik</item>
    </derivirana_varijabla>
  </DomainObject.Predmet.OstaliListFormatedWithAdressOIB>
  <DomainObject.Predmet.OstaliListNazivFormated>
    <izvorni_sadrzaj>
      <item>IVICA ČABRAJA</item>
      <item>Vinko Pečanić</item>
    </izvorni_sadrzaj>
    <derivirana_varijabla naziv="DomainObject.Predmet.OstaliListNazivFormated_1">
      <item>IVICA ČABRAJA</item>
      <item>Vinko Pečanić</item>
    </derivirana_varijabla>
  </DomainObject.Predmet.OstaliListNazivFormated>
  <DomainObject.Predmet.OstaliListNazivFormatedOIB>
    <izvorni_sadrzaj>
      <item>IVICA ČABRAJA, OIB 33936852113</item>
      <item>Vinko Pečanić, OIB 03918439681</item>
    </izvorni_sadrzaj>
    <derivirana_varijabla naziv="DomainObject.Predmet.OstaliListNazivFormatedOIB_1">
      <item>IVICA ČABRAJA, OIB 33936852113</item>
      <item>Vinko Pečanić,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St-1370/2016-12</izvorni_sadrzaj>
    <derivirana_varijabla naziv="DomainObject.PoslovniBrojDokumenta_1">St-1370/2016-12</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AUTO-CENT d.o.o.</izvorni_sadrzaj>
    <derivirana_varijabla naziv="DomainObject.Predmet.ProtustrankaIDrugi_1">AUTO-CENT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AUTO-CENT d.o.o., OIB 39533814082, Zagrebačka 217, 10000 Zagreb</izvorni_sadrzaj>
    <derivirana_varijabla naziv="DomainObject.Predmet.ProtustrankaIDrugiAdressOIB_1">AUTO-CENT d.o.o., OIB 39533814082, Zagrebačka 217,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 d.o.o.</item>
      <item>IVICA ČABRAJA</item>
      <item>Fond za zaštitu okoliša i energetsku učinkovitost</item>
      <item>Vinko Pečanić</item>
    </izvorni_sadrzaj>
    <derivirana_varijabla naziv="DomainObject.Predmet.SudioniciListNaziv_1">
      <item>AUTO-CENT d.o.o.</item>
      <item>IVICA ČABRAJA</item>
      <item>Fond za zaštitu okoliša i energetsku učinkovitost</item>
      <item>Vinko Pečanić</item>
    </derivirana_varijabla>
  </DomainObject.Predmet.SudioniciListNaziv>
  <DomainObject.Predmet.SudioniciListAdressOIB>
    <izvorni_sadrzaj>
      <item>AUTO-CENT d.o.o., OIB 39533814082, Zagrebačka 217,10000 Zagreb</item>
      <item>IVICA ČABRAJA, OIB 33936852113, Zagrebačka cesta 74,10000 Zagreb</item>
      <item>Fond za zaštitu okoliša i energetsku učinkovitost, OIB 85828625994, Radnička cesta 80,10000 Zagreb</item>
      <item>Vinko Pečanić, OIB 03918439681, Frankopanska 17,34551 Lipik</item>
    </izvorni_sadrzaj>
    <derivirana_varijabla naziv="DomainObject.Predmet.SudioniciListAdressOIB_1">
      <item>AUTO-CENT d.o.o., OIB 39533814082, Zagrebačka 217,10000 Zagreb</item>
      <item>IVICA ČABRAJA, OIB 33936852113, Zagrebačka cesta 74,10000 Zagreb</item>
      <item>Fond za zaštitu okoliša i energetsku učinkovitost, OIB 85828625994, Radnička cesta 80,10000 Zagreb</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B70866-7FFF-43B2-A34F-1E03A7147E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1141</properties:Words>
  <properties:Characters>6508</properties:Characters>
  <properties:Lines>134</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2017-03-08T07:09:00Z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St-1370/2016-12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