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35f3" w14:paraId="0d635f3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F11DC2">
        <w:t>39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F11DC2">
        <w:t>2</w:t>
      </w:r>
      <w:r w:rsidR="00814557" w:rsidRPr="006F1FF1">
        <w:t xml:space="preserve">. </w:t>
      </w:r>
      <w:r w:rsidR="00F11DC2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4338D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 2/1000, etažno vlasništvo E-141</w:t>
      </w:r>
      <w:r w:rsidR="00F11DC2">
        <w:t>,</w:t>
      </w:r>
      <w:r w:rsidR="002C5E3E">
        <w:t xml:space="preserve"> </w:t>
      </w:r>
      <w:r w:rsidR="006B63D6">
        <w:t>parkirno mjesto – P 34 u podrumu, koji se sastoji od parkirnog mjesta u garaži, ukupne neto korisne površine 12,50 m2, u Elaboratu etažiranja – diobe označen</w:t>
      </w:r>
      <w:r w:rsidR="002C5E3E">
        <w:t xml:space="preserve"> – </w:t>
      </w:r>
      <w:r w:rsidR="006B63D6">
        <w:t>zelenom</w:t>
      </w:r>
      <w:r w:rsidR="002C5E3E">
        <w:t xml:space="preserve">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F11DC2">
        <w:t>2</w:t>
      </w:r>
      <w:r w:rsidR="00814557" w:rsidRPr="006F1FF1">
        <w:t xml:space="preserve">. </w:t>
      </w:r>
      <w:r w:rsidR="00F11DC2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944B73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944B73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44B73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F11DC2">
      <w:t>39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B63D6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44B73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946F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11DC2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4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4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St-5/2018-38</izvorni_sadrzaj>
    <derivirana_varijabla naziv="DomainObject.PredzadnjaOdlukaIzPredmeta.Oznaka_1">St-5/2018-38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E64E9-D1E2-4061-AE06-450CA2DBD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2443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2018-10-23T12:24:00Z</dcterms:created>
  <dc:creator>Srđan Gavranić</dc:creator>
  <cp:lastModifiedBy>Ante Rubelj</cp:lastModifiedBy>
  <cp:lastPrinted>2018-11-05T09:07:00Z</cp:lastPrinted>
  <dcterms:modified xmlns:xsi="http://www.w3.org/2001/XMLSchema-instance" xsi:type="dcterms:W3CDTF">2018-11-05T09:07:00Z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E-141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