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9065" w14:paraId="80e9065" w:rsidRDefault="00096B5A" w:rsidP="00096B5A" w:rsidR="00096B5A">
      <w:pPr>
        <w:pStyle w:val="Standard"/>
        <w:jc w:val="center"/>
        <w15:collapsed w:val="false"/>
        <w:rPr>
          <w:rFonts w:hAnsi="Times New Roman" w:ascii="Times New Roman"/>
          <w:b/>
          <w:sz w:val="22"/>
          <w:szCs w:val="22"/>
        </w:rPr>
      </w:pPr>
    </w:p>
    <w:p w:rsidRDefault="00096B5A" w:rsidP="00096B5A" w:rsidR="00096B5A">
      <w:pPr>
        <w:pStyle w:val="Standard"/>
        <w:jc w:val="center"/>
        <w:rPr>
          <w:rFonts w:hAnsi="Times New Roman" w:ascii="Times New Roman"/>
          <w:b/>
          <w:sz w:val="22"/>
          <w:szCs w:val="22"/>
        </w:rPr>
      </w:pPr>
      <w:r>
        <w:rPr>
          <w:rFonts w:hAnsi="Times New Roman" w:ascii="Times New Roman"/>
          <w:b/>
          <w:sz w:val="22"/>
          <w:szCs w:val="22"/>
        </w:rPr>
        <w:t>IZVJEŠĆE STEČAJNOGA UPRAVITELJA O TIJEKU STEČAJNOGA POSTUPKA I STANJU STEČAJNE MASE</w:t>
      </w:r>
    </w:p>
    <w:p w:rsidRDefault="00096B5A" w:rsidP="00096B5A" w:rsidR="00096B5A">
      <w:pPr>
        <w:pStyle w:val="Standard"/>
        <w:jc w:val="both"/>
        <w:rPr>
          <w:rFonts w:hAnsi="Times New Roman" w:ascii="Times New Roman"/>
          <w:b/>
          <w:sz w:val="22"/>
          <w:szCs w:val="22"/>
        </w:rPr>
      </w:pPr>
    </w:p>
    <w:p w:rsidRDefault="00096B5A" w:rsidP="00096B5A" w:rsidR="00096B5A">
      <w:pPr>
        <w:pStyle w:val="Standard"/>
        <w:jc w:val="both"/>
        <w:rPr>
          <w:rFonts w:hAnsi="Times New Roman" w:ascii="Times New Roman"/>
        </w:rPr>
      </w:pPr>
      <w:r>
        <w:rPr>
          <w:rFonts w:hAnsi="Times New Roman" w:ascii="Times New Roman"/>
          <w:sz w:val="22"/>
          <w:szCs w:val="22"/>
        </w:rPr>
        <w:t xml:space="preserve">Nadležni trgovački sud: </w:t>
      </w:r>
      <w:r>
        <w:rPr>
          <w:rFonts w:hAnsi="Times New Roman" w:ascii="Times New Roman"/>
          <w:b/>
          <w:sz w:val="22"/>
          <w:szCs w:val="22"/>
        </w:rPr>
        <w:t>TRGOVAČKI SUD U BJELOVARU</w:t>
      </w:r>
    </w:p>
    <w:p w:rsidRDefault="00096B5A" w:rsidP="00096B5A" w:rsidR="00096B5A">
      <w:pPr>
        <w:pStyle w:val="Standard"/>
        <w:jc w:val="both"/>
        <w:rPr>
          <w:rFonts w:hAnsi="Times New Roman" w:ascii="Times New Roman"/>
        </w:rPr>
      </w:pPr>
      <w:r>
        <w:rPr>
          <w:rFonts w:hAnsi="Times New Roman" w:ascii="Times New Roman"/>
          <w:sz w:val="22"/>
          <w:szCs w:val="22"/>
        </w:rPr>
        <w:t xml:space="preserve">Poslovni broj spisa: </w:t>
      </w:r>
      <w:r>
        <w:rPr>
          <w:rFonts w:hAnsi="Times New Roman" w:ascii="Times New Roman"/>
          <w:b/>
          <w:sz w:val="22"/>
          <w:szCs w:val="22"/>
        </w:rPr>
        <w:t>St-90/18</w:t>
      </w:r>
    </w:p>
    <w:p w:rsidRDefault="00096B5A" w:rsidP="00096B5A" w:rsidR="00096B5A">
      <w:pPr>
        <w:pStyle w:val="Standard"/>
        <w:jc w:val="both"/>
        <w:rPr>
          <w:rFonts w:hint="eastAsia"/>
        </w:rPr>
      </w:pPr>
      <w:r>
        <w:rPr>
          <w:rFonts w:hAnsi="Times New Roman" w:ascii="Times New Roman"/>
          <w:sz w:val="22"/>
          <w:szCs w:val="22"/>
        </w:rPr>
        <w:t xml:space="preserve">Dužnik (naziv, OIB, sjedište): </w:t>
      </w:r>
      <w:r>
        <w:rPr>
          <w:rFonts w:cs="Liberation Serif" w:hAnsi="Times New Roman" w:ascii="Times New Roman"/>
          <w:b/>
          <w:sz w:val="22"/>
          <w:szCs w:val="22"/>
        </w:rPr>
        <w:t xml:space="preserve">OBUĆA VIKO d.o.o., Varaždin, </w:t>
      </w:r>
      <w:proofErr w:type="spellStart"/>
      <w:r>
        <w:rPr>
          <w:rFonts w:cs="Liberation Serif" w:hAnsi="Times New Roman" w:ascii="Times New Roman"/>
          <w:b/>
          <w:sz w:val="22"/>
          <w:szCs w:val="22"/>
        </w:rPr>
        <w:t>Pavleka</w:t>
      </w:r>
      <w:proofErr w:type="spellEnd"/>
      <w:r>
        <w:rPr>
          <w:rFonts w:cs="Liberation Serif" w:hAnsi="Times New Roman" w:ascii="Times New Roman"/>
          <w:b/>
          <w:sz w:val="22"/>
          <w:szCs w:val="22"/>
        </w:rPr>
        <w:t xml:space="preserve"> </w:t>
      </w:r>
      <w:proofErr w:type="spellStart"/>
      <w:r>
        <w:rPr>
          <w:rFonts w:cs="Liberation Serif" w:hAnsi="Times New Roman" w:ascii="Times New Roman"/>
          <w:b/>
          <w:sz w:val="22"/>
          <w:szCs w:val="22"/>
        </w:rPr>
        <w:t>Miškine</w:t>
      </w:r>
      <w:proofErr w:type="spellEnd"/>
      <w:r>
        <w:rPr>
          <w:rFonts w:cs="Liberation Serif" w:hAnsi="Times New Roman" w:ascii="Times New Roman"/>
          <w:b/>
          <w:sz w:val="22"/>
          <w:szCs w:val="22"/>
        </w:rPr>
        <w:t xml:space="preserve"> 57, OIB: 77766700586</w:t>
      </w:r>
    </w:p>
    <w:p w:rsidRDefault="00096B5A" w:rsidP="00096B5A" w:rsidR="00096B5A">
      <w:pPr>
        <w:pStyle w:val="Standard"/>
        <w:jc w:val="both"/>
        <w:rPr>
          <w:rFonts w:hAnsi="Times New Roman" w:ascii="Times New Roman"/>
        </w:rPr>
      </w:pPr>
    </w:p>
    <w:p w:rsidRDefault="00096B5A" w:rsidP="00096B5A" w:rsidR="00096B5A">
      <w:pPr>
        <w:pStyle w:val="Standard"/>
        <w:jc w:val="both"/>
        <w:rPr>
          <w:rFonts w:hAnsi="Times New Roman" w:ascii="Times New Roman"/>
          <w:b/>
          <w:sz w:val="22"/>
          <w:szCs w:val="22"/>
        </w:rPr>
      </w:pPr>
      <w:r>
        <w:rPr>
          <w:rFonts w:hAnsi="Times New Roman" w:ascii="Times New Roman"/>
          <w:b/>
          <w:sz w:val="22"/>
          <w:szCs w:val="22"/>
        </w:rPr>
        <w:t>I. TIJEK STEČAJNOGA POSTUPKA U RAZDOBLJU OD 11.08.2018. DO 15.11.2018. GODINE</w:t>
      </w: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p>
    <w:p w:rsidRDefault="00096B5A" w:rsidP="00096B5A" w:rsidR="00096B5A">
      <w:pPr>
        <w:pStyle w:val="Standard"/>
        <w:jc w:val="both"/>
        <w:rPr>
          <w:rFonts w:hAnsi="Times New Roman" w:ascii="Times New Roman"/>
          <w:i/>
          <w:iCs/>
          <w:sz w:val="22"/>
          <w:szCs w:val="22"/>
        </w:rPr>
      </w:pP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U razdoblju od 11.08.2018. godine do 15.11.2018. godine poduzete su slijedeće radnje:</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-protiv dužnikovih dužnika pokrenut ovršni postupak,</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 xml:space="preserve">-stečajni vjerovnik Dragutin </w:t>
      </w:r>
      <w:proofErr w:type="spellStart"/>
      <w:r>
        <w:rPr>
          <w:rFonts w:hAnsi="Times New Roman" w:ascii="Times New Roman"/>
          <w:sz w:val="22"/>
          <w:szCs w:val="22"/>
        </w:rPr>
        <w:t>Pogorelec</w:t>
      </w:r>
      <w:proofErr w:type="spellEnd"/>
      <w:r>
        <w:rPr>
          <w:rFonts w:hAnsi="Times New Roman" w:ascii="Times New Roman"/>
          <w:sz w:val="22"/>
          <w:szCs w:val="22"/>
        </w:rPr>
        <w:t xml:space="preserve"> nastavio parnični postupak protiv stečajnog dužnika kod OPS u Varaždinu, radi utvrđenja da postoji tražbina po osnovi dnevnica, putnih troškova i naknade za neiskorišteni godišnji odmor,</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-od dužnikovih dužnika izvršene djelomične naplate potraživanja,</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 komisionarima sa kojima je stečajni dužnik imao sklopljene Ugovore o komisijskoj prodaji robe, poslane obavijesti radi daljnjeg usklađenja stanja zaliha,</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 xml:space="preserve">-pred OPS u Varaždinu, </w:t>
      </w:r>
      <w:proofErr w:type="spellStart"/>
      <w:r>
        <w:rPr>
          <w:rFonts w:hAnsi="Times New Roman" w:ascii="Times New Roman"/>
          <w:sz w:val="22"/>
          <w:szCs w:val="22"/>
        </w:rPr>
        <w:t>zk</w:t>
      </w:r>
      <w:proofErr w:type="spellEnd"/>
      <w:r>
        <w:rPr>
          <w:rFonts w:hAnsi="Times New Roman" w:ascii="Times New Roman"/>
          <w:sz w:val="22"/>
          <w:szCs w:val="22"/>
        </w:rPr>
        <w:t xml:space="preserve"> odjel, vodi se postupak radi ispravka zemljišnih knjiga, u kojem postupku je doneseno rješenje kojim je određen novi k.č.br. za nekretninu stečajnog dužnika, međutim na isto rješenje je izjavljen prigovor od strane st. upravitelja stečajnog dužnika budući da je pogrešno formirana zemljišna čestica (spojena je sa susjednom česticom koja je u vlasništvu tvrtke VIKO d.o.o. u stečaju),</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-sudskom vještaku građevinske struke predana dokumentacija radi procjene vrijednosti nekretnina stečajnog dužnika u Sl. Brodu i Varaždinu,</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-od strane CROATIA OSIGURANJA d.d. zaprimljena obavijest da je PARTNER BANCI d.d. u cijelosti isplaćen iznos od 750.000,00 kn po osnovi sporne police osiguranja zaliha,</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-održano ispitno i izvještajno ročište na sudu,</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-potencijalnim kupcima zaliha gotove robe i materijala dostavljen popis imovine radi prodaje,</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-izdane fakture za prodanu robu, kao i za mjesečne zakupnine,</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-izvršena prodaja dijela zaliha stečajnog dužnika za iznos od 55.855,38 kn,</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-od dužnikovih dužnika naplaćen iznos od 35.106,35 kn.</w:t>
      </w:r>
    </w:p>
    <w:p w:rsidRDefault="00096B5A" w:rsidP="00096B5A" w:rsidR="00096B5A">
      <w:pPr>
        <w:pStyle w:val="Standard"/>
        <w:spacing w:lineRule="atLeast" w:line="240"/>
        <w:jc w:val="both"/>
        <w:rPr>
          <w:rFonts w:hAnsi="Times New Roman" w:ascii="Times New Roman"/>
          <w:sz w:val="22"/>
          <w:szCs w:val="22"/>
        </w:rPr>
      </w:pPr>
    </w:p>
    <w:p w:rsidRDefault="00096B5A" w:rsidP="00096B5A" w:rsidR="00096B5A">
      <w:pPr>
        <w:pStyle w:val="Standard"/>
        <w:jc w:val="both"/>
        <w:rPr>
          <w:rFonts w:hAnsi="Times New Roman" w:ascii="Times New Roman"/>
          <w:b/>
          <w:sz w:val="22"/>
          <w:szCs w:val="22"/>
        </w:rPr>
      </w:pPr>
      <w:r>
        <w:rPr>
          <w:rFonts w:hAnsi="Times New Roman" w:ascii="Times New Roman"/>
          <w:b/>
          <w:sz w:val="22"/>
          <w:szCs w:val="22"/>
        </w:rPr>
        <w:t>II. STANJE STEČAJNE MASE</w:t>
      </w: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1. dati sustavan pregled predmeta stečajne mase s početka razdoblja izvješća prema čl.223. Stečajnog zakona</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Predmeti stečajne mase:</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Popis predmeta stečajne mase nalazi se specificiran u tablici koja su priložene uz Izvješće o gospodarskom položaju stečajnog dužnika, a radi se o pokretninama, nekretninama i potraživanjima stečajnog dužnika i to:</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Nekretnine:</w:t>
      </w:r>
    </w:p>
    <w:p w:rsidRDefault="00096B5A" w:rsidP="00096B5A" w:rsidR="00096B5A">
      <w:pPr>
        <w:pStyle w:val="Textbody"/>
        <w:snapToGrid w:val="false"/>
        <w:spacing w:lineRule="atLeast" w:line="0" w:after="0"/>
        <w:jc w:val="both"/>
        <w:rPr>
          <w:rFonts w:hAnsi="Times New Roman" w:ascii="Times New Roman"/>
          <w:sz w:val="22"/>
          <w:szCs w:val="22"/>
        </w:rPr>
      </w:pPr>
      <w:r>
        <w:rPr>
          <w:rFonts w:hAnsi="Times New Roman" w:ascii="Times New Roman"/>
          <w:sz w:val="22"/>
          <w:szCs w:val="22"/>
        </w:rPr>
        <w:t xml:space="preserve">Nekretnina upisana u zk.ul.br.: 13086, poduložak 2, k.o. Varaždin, k.č.br.: 3598/3 sa 5504 m² (zgrada sa 3703 m², gosp. dvorište sa 1801 m²), etaža II. - prizemlje-stubište 18 m², lift m², polukat-hodnik 27 m², garderoba 56 m², stubište 24 m², kupaona 22 m², WC 6 m², lift 10 m², - I. kat- radiona 2751 m², hodnik 83 m², kancelarija 124 m², garderoba 80 m², stubište 51 m², kupaona 6 m², WC 67 m², skladište 28 m², lift 10 m², elektroskop 10 m², </w:t>
      </w:r>
      <w:proofErr w:type="spellStart"/>
      <w:r>
        <w:rPr>
          <w:rFonts w:hAnsi="Times New Roman" w:ascii="Times New Roman"/>
          <w:sz w:val="22"/>
          <w:szCs w:val="22"/>
        </w:rPr>
        <w:t>podst</w:t>
      </w:r>
      <w:proofErr w:type="spellEnd"/>
      <w:r>
        <w:rPr>
          <w:rFonts w:hAnsi="Times New Roman" w:ascii="Times New Roman"/>
          <w:sz w:val="22"/>
          <w:szCs w:val="22"/>
        </w:rPr>
        <w:t xml:space="preserve">. </w:t>
      </w:r>
      <w:proofErr w:type="spellStart"/>
      <w:r>
        <w:rPr>
          <w:rFonts w:hAnsi="Times New Roman" w:ascii="Times New Roman"/>
          <w:sz w:val="22"/>
          <w:szCs w:val="22"/>
        </w:rPr>
        <w:t>sanitar</w:t>
      </w:r>
      <w:proofErr w:type="spellEnd"/>
      <w:r>
        <w:rPr>
          <w:rFonts w:hAnsi="Times New Roman" w:ascii="Times New Roman"/>
          <w:sz w:val="22"/>
          <w:szCs w:val="22"/>
        </w:rPr>
        <w:t xml:space="preserve"> vode 10 m², restoran 266 m², kuhinja 17 m², sveukupne površine 3676 m²</w:t>
      </w:r>
    </w:p>
    <w:p w:rsidRDefault="00096B5A" w:rsidP="00096B5A" w:rsidR="00096B5A">
      <w:pPr>
        <w:pStyle w:val="Textbody"/>
        <w:snapToGrid w:val="false"/>
        <w:spacing w:lineRule="atLeast" w:line="0" w:after="0"/>
        <w:jc w:val="both"/>
        <w:rPr>
          <w:rFonts w:hAnsi="Times New Roman" w:ascii="Times New Roman"/>
          <w:sz w:val="22"/>
          <w:szCs w:val="22"/>
        </w:rPr>
      </w:pPr>
      <w:r>
        <w:rPr>
          <w:rFonts w:hAnsi="Times New Roman" w:ascii="Times New Roman"/>
          <w:sz w:val="22"/>
          <w:szCs w:val="22"/>
        </w:rPr>
        <w:lastRenderedPageBreak/>
        <w:t>Nekretnina upisana u zk.ul.br.: 4111, k.o. Slavonski Brod, u A k.č.br.: 3255/2 stambeno poslovna zgrada u Štamparevoj ulici sa 1361 m², u B, 5. suvlasnički dio 1/80 etažno vlasništvo (E-5), 1. poslovni prostor br. 9 K, na prvom katu koji se sastoji od poslovnog prostora sa 20,18 m² i sanitarnog čvora sa 2,02 m², ukupne površine 22,20 m², s kojim je neodvojivo povezno pravo vlasništva 5. suvlasničkog udjela</w:t>
      </w:r>
    </w:p>
    <w:p w:rsidRDefault="00096B5A" w:rsidP="00096B5A" w:rsidR="00096B5A">
      <w:pPr>
        <w:pStyle w:val="Textbody"/>
        <w:snapToGrid w:val="false"/>
        <w:spacing w:lineRule="atLeast" w:line="0" w:after="0"/>
        <w:jc w:val="both"/>
        <w:rPr>
          <w:rFonts w:hAnsi="Times New Roman" w:ascii="Times New Roman"/>
          <w:sz w:val="22"/>
          <w:szCs w:val="22"/>
        </w:rPr>
      </w:pPr>
      <w:r>
        <w:rPr>
          <w:rFonts w:hAnsi="Times New Roman" w:ascii="Times New Roman"/>
          <w:sz w:val="22"/>
          <w:szCs w:val="22"/>
        </w:rPr>
        <w:t>Nekretnina upisana u zk.ul.br.: 4111, k.o. Slavonski Brod, u A k.č.br.: 3255/2 stambeno poslovna zgrada u Štamparevoj ulici sa 1361 m², u B, 17. suvlasnički dio 1/80 etažno vlasništvo (E-17), 1. poslovni prostor br. 21 A, u prizemlju, površine sa 22,23 m², s kojim je neodvojivo povezno pravo vlasništva 17. suvlasničkog udjela.</w:t>
      </w:r>
    </w:p>
    <w:p w:rsidRDefault="00096B5A" w:rsidP="00096B5A" w:rsidR="00096B5A">
      <w:pPr>
        <w:pStyle w:val="Textbody"/>
        <w:snapToGrid w:val="false"/>
        <w:spacing w:lineRule="atLeast" w:line="0" w:after="0"/>
        <w:jc w:val="both"/>
        <w:rPr>
          <w:rFonts w:hAnsi="Times New Roman" w:ascii="Times New Roman"/>
          <w:sz w:val="22"/>
          <w:szCs w:val="22"/>
        </w:rPr>
      </w:pPr>
      <w:r>
        <w:rPr>
          <w:rFonts w:hAnsi="Times New Roman" w:ascii="Times New Roman"/>
          <w:sz w:val="22"/>
          <w:szCs w:val="22"/>
        </w:rPr>
        <w:t>Nekretnina upisana u zk.ul.br.: 10620, k.o. Slavonski Brod, u A k.č.br.: 3251/81 poslovna zgrada Zapad I, poslovno stambena zgrada Zapad II i dvorište gradska tržnica sa 824 m², u B, 9. suvlasnički dio 7/100 etažno vlasništvo (E-9), 1. P9-poslovni prostor na prvom katu poslovne građevine Tržnica Zapad I koja se sastoji od: 9a-poslovna prostorija sa 95,32 m², 9b-poslovna prostorija sa 3,04 m², 9c-poslovna prostorija sa 3,04 m², 9d-poslovna prostorija sa 1,44 m², 9e-poslovna prostorija sa 1,44 m², ukupne površine 104,28 m², s kojim je neodvojivo povezno pravo vlasništva 9. suvlasničkog udjela.</w:t>
      </w:r>
    </w:p>
    <w:p w:rsidRDefault="00096B5A" w:rsidP="00096B5A" w:rsidR="00096B5A">
      <w:pPr>
        <w:pStyle w:val="Textbody"/>
        <w:snapToGrid w:val="false"/>
        <w:spacing w:lineRule="atLeast" w:line="0" w:after="0"/>
        <w:jc w:val="both"/>
        <w:rPr>
          <w:rFonts w:hAnsi="Times New Roman" w:ascii="Times New Roman"/>
          <w:sz w:val="22"/>
          <w:szCs w:val="22"/>
        </w:rPr>
      </w:pPr>
      <w:r>
        <w:rPr>
          <w:rFonts w:hAnsi="Times New Roman" w:ascii="Times New Roman"/>
          <w:sz w:val="22"/>
          <w:szCs w:val="22"/>
        </w:rPr>
        <w:t xml:space="preserve">Nekretnina upisana u zk.ul.br.: 10620, k.o. Slavonski Brod, u A k.č.br.: 3251/81 poslovna zgrada Zapad I, </w:t>
      </w:r>
      <w:proofErr w:type="spellStart"/>
      <w:r>
        <w:rPr>
          <w:rFonts w:hAnsi="Times New Roman" w:ascii="Times New Roman"/>
          <w:sz w:val="22"/>
          <w:szCs w:val="22"/>
        </w:rPr>
        <w:t>posovno</w:t>
      </w:r>
      <w:proofErr w:type="spellEnd"/>
      <w:r>
        <w:rPr>
          <w:rFonts w:hAnsi="Times New Roman" w:ascii="Times New Roman"/>
          <w:sz w:val="22"/>
          <w:szCs w:val="22"/>
        </w:rPr>
        <w:t xml:space="preserve"> stambena zgrada Zapad II i dvorište gradska tržnica sa 824 m², u B, 10. suvlasnički dio 9/100 etažno vlasništvo (E-10), 1. P10-poslovni prostor na prvom katu poslovne građevine Tržnica Zapad I koja se sastoji od: 10a-poslovna prostorija sa 130,91 m², 10b-poslovna prostorija sa 3,00 m², 10c-poslovna prostorija sa 3,00 m², 10d-poslovna prostorija sa 1,44 m², 10e-poslovna prostorija sa 1,44 m², ukupne površine 139,79 m², s kojim je neodvojivo povezno pravo vlasništva 10. suvlasničkog udjela.</w:t>
      </w:r>
    </w:p>
    <w:p w:rsidRDefault="00096B5A" w:rsidP="00096B5A" w:rsidR="00096B5A">
      <w:pPr>
        <w:pStyle w:val="Standard"/>
        <w:jc w:val="both"/>
        <w:rPr>
          <w:rFonts w:hAnsi="Times New Roman" w:ascii="Times New Roman"/>
          <w:sz w:val="22"/>
          <w:szCs w:val="22"/>
        </w:rPr>
      </w:pPr>
    </w:p>
    <w:p w:rsidRDefault="00096B5A" w:rsidP="00096B5A" w:rsidR="00096B5A">
      <w:pPr>
        <w:pStyle w:val="Textbody"/>
        <w:spacing w:lineRule="atLeast" w:line="0" w:after="0"/>
        <w:jc w:val="both"/>
        <w:rPr>
          <w:rFonts w:hAnsi="Times New Roman" w:ascii="Times New Roman"/>
        </w:rPr>
      </w:pPr>
      <w:r>
        <w:rPr>
          <w:rFonts w:hAnsi="Times New Roman" w:ascii="Times New Roman"/>
          <w:color w:val="000000"/>
          <w:sz w:val="22"/>
          <w:szCs w:val="22"/>
        </w:rPr>
        <w:t xml:space="preserve">Dio proizvodnih nekretnina koje se nalaze na adresi u sjedištu stečajnog dužnika u Varaždinu, opožaren je tijekom 2017. godine, uslijed čega su u tom dijelu nekretnina od tada ne obavlja nikakva poslovna djelatnost budući da nisu sanirane (osim krovišta), dok u preostalom dijelu istih nekretnina djelatnost i obavlja tvrtka OMEGA VIKO d.o.o., </w:t>
      </w:r>
      <w:proofErr w:type="spellStart"/>
      <w:r>
        <w:rPr>
          <w:rFonts w:hAnsi="Times New Roman" w:ascii="Times New Roman"/>
          <w:color w:val="000000"/>
          <w:sz w:val="22"/>
          <w:szCs w:val="22"/>
        </w:rPr>
        <w:t>Pavleka</w:t>
      </w:r>
      <w:proofErr w:type="spellEnd"/>
      <w:r>
        <w:rPr>
          <w:rFonts w:hAnsi="Times New Roman" w:ascii="Times New Roman"/>
          <w:color w:val="000000"/>
          <w:sz w:val="22"/>
          <w:szCs w:val="22"/>
        </w:rPr>
        <w:t xml:space="preserve"> </w:t>
      </w:r>
      <w:proofErr w:type="spellStart"/>
      <w:r>
        <w:rPr>
          <w:rFonts w:hAnsi="Times New Roman" w:ascii="Times New Roman"/>
          <w:color w:val="000000"/>
          <w:sz w:val="22"/>
          <w:szCs w:val="22"/>
        </w:rPr>
        <w:t>Miškine</w:t>
      </w:r>
      <w:proofErr w:type="spellEnd"/>
      <w:r>
        <w:rPr>
          <w:rFonts w:hAnsi="Times New Roman" w:ascii="Times New Roman"/>
          <w:color w:val="000000"/>
          <w:sz w:val="22"/>
          <w:szCs w:val="22"/>
        </w:rPr>
        <w:t xml:space="preserve"> 57, na temelju ranije sklopljenog ugovora o zakupu sa tvrtkom OBUĆA VIKO d.o.o., za mjesečni iznos zakupnine od 2.000,00 kn + PDV.</w:t>
      </w:r>
    </w:p>
    <w:p w:rsidRDefault="00096B5A" w:rsidP="00096B5A" w:rsidR="00096B5A">
      <w:pPr>
        <w:pStyle w:val="Textbody"/>
        <w:spacing w:lineRule="atLeast" w:line="0" w:after="0"/>
        <w:jc w:val="both"/>
        <w:rPr>
          <w:rFonts w:hAnsi="Times New Roman" w:ascii="Times New Roman"/>
        </w:rPr>
      </w:pPr>
    </w:p>
    <w:p w:rsidRDefault="00096B5A" w:rsidP="00096B5A" w:rsidR="00096B5A">
      <w:pPr>
        <w:pStyle w:val="Textbody"/>
        <w:spacing w:lineRule="atLeast" w:line="0" w:after="0"/>
        <w:jc w:val="both"/>
        <w:rPr>
          <w:rFonts w:hAnsi="Times New Roman" w:ascii="Times New Roman"/>
        </w:rPr>
      </w:pPr>
      <w:r>
        <w:rPr>
          <w:rFonts w:hAnsi="Times New Roman" w:ascii="Times New Roman"/>
          <w:color w:val="000000"/>
          <w:sz w:val="22"/>
          <w:szCs w:val="22"/>
        </w:rPr>
        <w:t>Nekretnine stečajnog dužnika koje se nalaze u Slavonskom Brodu nisu u bile u funkciji niti prije otvaranja stečaja, s time da poslovni prostori označeni sa E-9 i E-10 nisu nikada niti dovršeni (</w:t>
      </w:r>
      <w:proofErr w:type="spellStart"/>
      <w:r>
        <w:rPr>
          <w:rFonts w:hAnsi="Times New Roman" w:ascii="Times New Roman"/>
          <w:color w:val="000000"/>
          <w:sz w:val="22"/>
          <w:szCs w:val="22"/>
        </w:rPr>
        <w:t>roh</w:t>
      </w:r>
      <w:proofErr w:type="spellEnd"/>
      <w:r>
        <w:rPr>
          <w:rFonts w:hAnsi="Times New Roman" w:ascii="Times New Roman"/>
          <w:color w:val="000000"/>
          <w:sz w:val="22"/>
          <w:szCs w:val="22"/>
        </w:rPr>
        <w:t xml:space="preserve"> </w:t>
      </w:r>
      <w:proofErr w:type="spellStart"/>
      <w:r>
        <w:rPr>
          <w:rFonts w:hAnsi="Times New Roman" w:ascii="Times New Roman"/>
          <w:color w:val="000000"/>
          <w:sz w:val="22"/>
          <w:szCs w:val="22"/>
        </w:rPr>
        <w:t>bau</w:t>
      </w:r>
      <w:proofErr w:type="spellEnd"/>
      <w:r>
        <w:rPr>
          <w:rFonts w:hAnsi="Times New Roman" w:ascii="Times New Roman"/>
          <w:color w:val="000000"/>
          <w:sz w:val="22"/>
          <w:szCs w:val="22"/>
        </w:rPr>
        <w:t>), a poslovni prostor označen sa E-17 koristi tvrtka ASKA d.o.o. iz Đakova, kao skladište, i to temeljem ranijeg ugovora o zakupu sa stečajnim dužnikom za iznos zakupnine od 500,00 kn + PDV, uvećano za trošak režija, pričuve i dr.</w:t>
      </w:r>
    </w:p>
    <w:p w:rsidRDefault="00096B5A" w:rsidP="00096B5A" w:rsidR="00096B5A">
      <w:pPr>
        <w:pStyle w:val="Textbody"/>
        <w:spacing w:lineRule="atLeast" w:line="0" w:after="0"/>
        <w:jc w:val="both"/>
        <w:rPr>
          <w:rFonts w:hAnsi="Times New Roman" w:ascii="Times New Roman"/>
        </w:rPr>
      </w:pP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Pokretnine:</w:t>
      </w:r>
    </w:p>
    <w:p w:rsidRDefault="00096B5A" w:rsidP="00096B5A" w:rsidR="00096B5A">
      <w:pPr>
        <w:pStyle w:val="TableContents"/>
        <w:jc w:val="both"/>
        <w:rPr>
          <w:rFonts w:hAnsi="Times New Roman" w:ascii="Times New Roman"/>
          <w:sz w:val="22"/>
          <w:szCs w:val="22"/>
        </w:rPr>
      </w:pPr>
      <w:r>
        <w:rPr>
          <w:rFonts w:hAnsi="Times New Roman" w:ascii="Times New Roman"/>
          <w:sz w:val="22"/>
          <w:szCs w:val="22"/>
        </w:rPr>
        <w:t xml:space="preserve">Zalihe gotovih proizvoda (obuća), zalihe gotove robe (kupljene od PROVEL d.o.o. u stečaju), zalihe gotovih proizvoda (obuća) – komisionari, zalihe gotovih proizvoda (obuća) – tekstil, zalihe materijala (obuća), zalihe materijala (tekstil), zalihe boja i kemikalija, zalihe obuće i tekstila po reversima, plastični kalupi, kalupi  </w:t>
      </w:r>
      <w:proofErr w:type="spellStart"/>
      <w:r>
        <w:rPr>
          <w:rFonts w:hAnsi="Times New Roman" w:ascii="Times New Roman"/>
          <w:sz w:val="22"/>
          <w:szCs w:val="22"/>
        </w:rPr>
        <w:t>Kopitarna</w:t>
      </w:r>
      <w:proofErr w:type="spellEnd"/>
      <w:r>
        <w:rPr>
          <w:rFonts w:hAnsi="Times New Roman" w:ascii="Times New Roman"/>
          <w:sz w:val="22"/>
          <w:szCs w:val="22"/>
        </w:rPr>
        <w:t xml:space="preserve">, pumpa za vodu AQUAFLU 300 T, </w:t>
      </w:r>
      <w:proofErr w:type="spellStart"/>
      <w:r>
        <w:rPr>
          <w:rFonts w:hAnsi="Times New Roman" w:ascii="Times New Roman"/>
          <w:sz w:val="22"/>
          <w:szCs w:val="22"/>
        </w:rPr>
        <w:t>gradirka</w:t>
      </w:r>
      <w:proofErr w:type="spellEnd"/>
      <w:r>
        <w:rPr>
          <w:rFonts w:hAnsi="Times New Roman" w:ascii="Times New Roman"/>
          <w:sz w:val="22"/>
          <w:szCs w:val="22"/>
        </w:rPr>
        <w:t xml:space="preserve"> + škare za lim, viljuškar JH DFG AK 380 ZT S, telefaks uređaj CANON JX210, </w:t>
      </w:r>
      <w:proofErr w:type="spellStart"/>
      <w:r>
        <w:rPr>
          <w:rFonts w:hAnsi="Times New Roman" w:ascii="Times New Roman"/>
          <w:sz w:val="22"/>
          <w:szCs w:val="22"/>
        </w:rPr>
        <w:t>fax</w:t>
      </w:r>
      <w:proofErr w:type="spellEnd"/>
      <w:r>
        <w:rPr>
          <w:rFonts w:hAnsi="Times New Roman" w:ascii="Times New Roman"/>
          <w:sz w:val="22"/>
          <w:szCs w:val="22"/>
        </w:rPr>
        <w:t xml:space="preserve"> CANON MF 4450 ADF, printer SAMSUNG ML-1660 LASER, fotokopirni aparat CANON, ledenica GORENJE, </w:t>
      </w:r>
      <w:proofErr w:type="spellStart"/>
      <w:r>
        <w:rPr>
          <w:rFonts w:hAnsi="Times New Roman" w:ascii="Times New Roman"/>
          <w:sz w:val="22"/>
          <w:szCs w:val="22"/>
        </w:rPr>
        <w:t>ugradbeni</w:t>
      </w:r>
      <w:proofErr w:type="spellEnd"/>
      <w:r>
        <w:rPr>
          <w:rFonts w:hAnsi="Times New Roman" w:ascii="Times New Roman"/>
          <w:sz w:val="22"/>
          <w:szCs w:val="22"/>
        </w:rPr>
        <w:t xml:space="preserve"> štednjak ELEKTROLUX FRIGO UFA 2204/14</w:t>
      </w:r>
    </w:p>
    <w:p w:rsidRDefault="00096B5A" w:rsidP="00096B5A" w:rsidR="00096B5A">
      <w:pPr>
        <w:pStyle w:val="Standard"/>
        <w:jc w:val="both"/>
        <w:rPr>
          <w:rFonts w:hAnsi="Times New Roman" w:ascii="Times New Roman"/>
          <w:i/>
          <w:iCs/>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2. dati podatak koji su predmeti stečajne mase unovčeni i u kojem iznosu</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 xml:space="preserve">Predmeti stečajne mase su unovčeni i to zaliha gotove robe, te zaliha materijala za ukupan iznos od 55.855,38 kn, od čega dio prodane robe još nije naplaćen radi roka </w:t>
      </w:r>
      <w:proofErr w:type="spellStart"/>
      <w:r>
        <w:rPr>
          <w:rFonts w:hAnsi="Times New Roman" w:ascii="Times New Roman"/>
          <w:sz w:val="22"/>
          <w:szCs w:val="22"/>
        </w:rPr>
        <w:t>dospjeća</w:t>
      </w:r>
      <w:proofErr w:type="spellEnd"/>
      <w:r>
        <w:rPr>
          <w:rFonts w:hAnsi="Times New Roman" w:ascii="Times New Roman"/>
          <w:sz w:val="22"/>
          <w:szCs w:val="22"/>
        </w:rPr>
        <w:t xml:space="preserve"> plaćanja.</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3. dati podatak koji predmeti stečajne mase nisu unovčeni i zbog kojeg razloga</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Sve preostali predmeti stečajno mase nisu unovčeni radi činjenice da se traže ponude potencijalnih kupaca koji bi otkupili cjelokupan asortiman zaliha roba i materijala stečajnog dužnika, budući da radi opsežnosti zaliha nije iste moguće, a niti ekonomično, prodavati pojedinačno ili u manjim količinama.</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 xml:space="preserve">4. dati podatak o tome kako je ostvareno </w:t>
      </w:r>
      <w:proofErr w:type="spellStart"/>
      <w:r>
        <w:rPr>
          <w:rFonts w:hAnsi="Times New Roman" w:ascii="Times New Roman"/>
          <w:i/>
          <w:iCs/>
          <w:sz w:val="22"/>
          <w:szCs w:val="22"/>
        </w:rPr>
        <w:t>razlučno</w:t>
      </w:r>
      <w:proofErr w:type="spellEnd"/>
      <w:r>
        <w:rPr>
          <w:rFonts w:hAnsi="Times New Roman" w:ascii="Times New Roman"/>
          <w:i/>
          <w:iCs/>
          <w:sz w:val="22"/>
          <w:szCs w:val="22"/>
        </w:rPr>
        <w:t xml:space="preserve"> pravo, ako ono postoji</w:t>
      </w:r>
    </w:p>
    <w:p w:rsidRDefault="00096B5A" w:rsidP="00096B5A" w:rsidR="00096B5A">
      <w:pPr>
        <w:pStyle w:val="Standard"/>
        <w:jc w:val="both"/>
        <w:rPr>
          <w:rFonts w:cs="Liberation Serif" w:hAnsi="Times New Roman" w:ascii="Times New Roman"/>
          <w:sz w:val="22"/>
          <w:szCs w:val="22"/>
        </w:rPr>
      </w:pPr>
      <w:r>
        <w:rPr>
          <w:rFonts w:cs="Liberation Serif" w:hAnsi="Times New Roman" w:ascii="Times New Roman"/>
          <w:sz w:val="22"/>
          <w:szCs w:val="22"/>
        </w:rPr>
        <w:lastRenderedPageBreak/>
        <w:t xml:space="preserve">Na nekretninama koje su navedene u toč.1. ovog izvješća, postoje upisana </w:t>
      </w:r>
      <w:proofErr w:type="spellStart"/>
      <w:r>
        <w:rPr>
          <w:rFonts w:cs="Liberation Serif" w:hAnsi="Times New Roman" w:ascii="Times New Roman"/>
          <w:sz w:val="22"/>
          <w:szCs w:val="22"/>
        </w:rPr>
        <w:t>razlučna</w:t>
      </w:r>
      <w:proofErr w:type="spellEnd"/>
      <w:r>
        <w:rPr>
          <w:rFonts w:cs="Liberation Serif" w:hAnsi="Times New Roman" w:ascii="Times New Roman"/>
          <w:sz w:val="22"/>
          <w:szCs w:val="22"/>
        </w:rPr>
        <w:t xml:space="preserve"> prava u korist PARTNER BANKE d.d., kao fiducijarnog vlasnika i </w:t>
      </w:r>
      <w:r>
        <w:rPr>
          <w:rFonts w:cs="Liberation Serif" w:hAnsi="Times New Roman" w:ascii="Times New Roman"/>
          <w:color w:val="000000"/>
          <w:sz w:val="22"/>
          <w:szCs w:val="22"/>
        </w:rPr>
        <w:t xml:space="preserve">HRVATSKE BANKE ZA OBNOVU I RAZVITAK, po osnovi </w:t>
      </w:r>
      <w:proofErr w:type="spellStart"/>
      <w:r>
        <w:rPr>
          <w:rFonts w:cs="Liberation Serif" w:hAnsi="Times New Roman" w:ascii="Times New Roman"/>
          <w:color w:val="000000"/>
          <w:sz w:val="22"/>
          <w:szCs w:val="22"/>
        </w:rPr>
        <w:t>nadhipoteke</w:t>
      </w:r>
      <w:proofErr w:type="spellEnd"/>
      <w:r>
        <w:rPr>
          <w:rFonts w:cs="Liberation Serif" w:hAnsi="Times New Roman" w:ascii="Times New Roman"/>
          <w:color w:val="000000"/>
          <w:sz w:val="22"/>
          <w:szCs w:val="22"/>
        </w:rPr>
        <w:t xml:space="preserve">, s time da je prema podacima PARTNER BANKE d.d. ista u potpunosti isplatila HBOR-u, ali uknjižba </w:t>
      </w:r>
      <w:proofErr w:type="spellStart"/>
      <w:r>
        <w:rPr>
          <w:rFonts w:cs="Liberation Serif" w:hAnsi="Times New Roman" w:ascii="Times New Roman"/>
          <w:color w:val="000000"/>
          <w:sz w:val="22"/>
          <w:szCs w:val="22"/>
        </w:rPr>
        <w:t>nadhipoteke</w:t>
      </w:r>
      <w:proofErr w:type="spellEnd"/>
      <w:r>
        <w:rPr>
          <w:rFonts w:cs="Liberation Serif" w:hAnsi="Times New Roman" w:ascii="Times New Roman"/>
          <w:color w:val="000000"/>
          <w:sz w:val="22"/>
          <w:szCs w:val="22"/>
        </w:rPr>
        <w:t xml:space="preserve"> u korist HBOR-a do sada nije brisana u zemljišnim knjigama.</w:t>
      </w:r>
    </w:p>
    <w:p w:rsidRDefault="00096B5A" w:rsidP="00096B5A" w:rsidR="00096B5A">
      <w:pPr>
        <w:pStyle w:val="Standard"/>
        <w:jc w:val="both"/>
        <w:rPr>
          <w:rFonts w:cs="Liberation Serif" w:hAnsi="Times New Roman" w:ascii="Times New Roman"/>
          <w:color w:val="000000"/>
          <w:sz w:val="22"/>
          <w:szCs w:val="22"/>
        </w:rPr>
      </w:pPr>
      <w:r>
        <w:rPr>
          <w:rFonts w:cs="Liberation Serif" w:hAnsi="Times New Roman" w:ascii="Times New Roman"/>
          <w:color w:val="000000"/>
          <w:sz w:val="22"/>
          <w:szCs w:val="22"/>
        </w:rPr>
        <w:t>Nakon procjene vrijednosti nekretnina od strane sudskog vještaka, pristupit će se prodaji nekretnina putem FINA-e.</w:t>
      </w:r>
    </w:p>
    <w:p w:rsidRDefault="00096B5A" w:rsidP="00096B5A" w:rsidR="00096B5A">
      <w:pPr>
        <w:pStyle w:val="Standard"/>
        <w:jc w:val="both"/>
        <w:rPr>
          <w:rFonts w:cs="Liberation Serif"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5. dati podatak o tome kako je ostvareno izlučno pravo, ako ono postoji</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 xml:space="preserve">Nisu prijavljena izlučna prava niti takva proizlaze iz poslovnih knjiga, međutim prema usmenom navodu gosp. </w:t>
      </w:r>
      <w:proofErr w:type="spellStart"/>
      <w:r>
        <w:rPr>
          <w:rFonts w:hAnsi="Times New Roman" w:ascii="Times New Roman"/>
          <w:sz w:val="22"/>
          <w:szCs w:val="22"/>
        </w:rPr>
        <w:t>Bilandžije</w:t>
      </w:r>
      <w:proofErr w:type="spellEnd"/>
      <w:r>
        <w:rPr>
          <w:rFonts w:hAnsi="Times New Roman" w:ascii="Times New Roman"/>
          <w:sz w:val="22"/>
          <w:szCs w:val="22"/>
        </w:rPr>
        <w:t xml:space="preserve"> iz Slavonskog Broda, isti navodno i dalje polaže pravo </w:t>
      </w:r>
      <w:proofErr w:type="spellStart"/>
      <w:r>
        <w:rPr>
          <w:rFonts w:hAnsi="Times New Roman" w:ascii="Times New Roman"/>
          <w:sz w:val="22"/>
          <w:szCs w:val="22"/>
        </w:rPr>
        <w:t>izvanknjižnog</w:t>
      </w:r>
      <w:proofErr w:type="spellEnd"/>
      <w:r>
        <w:rPr>
          <w:rFonts w:hAnsi="Times New Roman" w:ascii="Times New Roman"/>
          <w:sz w:val="22"/>
          <w:szCs w:val="22"/>
        </w:rPr>
        <w:t xml:space="preserve"> vlasništva na nekretnini u Slavonskom Brodu, upisanoj u zk.ul.br.: </w:t>
      </w:r>
      <w:r>
        <w:rPr>
          <w:rFonts w:cs="Times New Roman" w:hAnsi="Times New Roman" w:ascii="Times New Roman"/>
          <w:iCs/>
          <w:sz w:val="22"/>
          <w:szCs w:val="22"/>
        </w:rPr>
        <w:t>10620, k.o. Slavonski Brod, u A k.č.br.: 3251/81 poslovna zgrada Zapad I, poslovno stambena zgrada Zapad II i dvorište gradska tržnica sa 824 m², u B, 10. suvlasnički dio 9/100 etažno vlasništvo (E-10), 1. P10-poslovni prostor na prvom katu poslovne građevine Tržnica Zapad I koja se sastoji od: 10a-poslovna prostorija sa 130,91 m², 10b-poslovna prostorija sa 3,00 m², 10c-poslovna prostorija sa 3,00 m², 10d-poslovna prostorija sa 1,44 m², 10e-poslovna prostorija sa 1,44 m², ukupne površine 139,79 m², s kojim je neodvojivo povezno pravo vlasništva 10. suvlasničkog udjela, ali pri tome isti do sada nije dostavio nikakav pisani dokaz o načinu stjecanja vlasništva, niti isto proizlazi iz povijesnog pregleda u zemljišnim knjigama i katastru.</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6. dati podatak o vjerovnicima stečajne mase i njihovom namirenju</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Vjerovnici stečajne mase:</w:t>
      </w:r>
    </w:p>
    <w:p w:rsidRDefault="00096B5A" w:rsidP="00096B5A" w:rsidR="00096B5A">
      <w:pPr>
        <w:pStyle w:val="Standard"/>
        <w:ind w:right="-576" w:left="-576"/>
        <w:jc w:val="both"/>
        <w:rPr>
          <w:rFonts w:hAnsi="Times New Roman" w:ascii="Times New Roman"/>
          <w:sz w:val="22"/>
          <w:szCs w:val="22"/>
        </w:rPr>
      </w:pPr>
    </w:p>
    <w:tbl>
      <w:tblPr>
        <w:tblW w:type="dxa" w:w="9630"/>
        <w:tblInd w:type="dxa" w:w="-9"/>
        <w:tblLayout w:type="fixed"/>
        <w:tblCellMar>
          <w:left w:type="dxa" w:w="10"/>
          <w:right w:type="dxa" w:w="10"/>
        </w:tblCellMar>
        <w:tblLook w:val="04A0" w:noVBand="1" w:noHBand="0" w:lastColumn="0" w:firstColumn="1" w:lastRow="0" w:firstRow="1"/>
      </w:tblPr>
      <w:tblGrid>
        <w:gridCol w:w="570"/>
        <w:gridCol w:w="4260"/>
        <w:gridCol w:w="3105"/>
        <w:gridCol w:w="1695"/>
      </w:tblGrid>
      <w:tr w:rsidTr="0020751C" w:rsidR="00096B5A">
        <w:tblPrEx>
          <w:tblCellMar>
            <w:top w:type="dxa" w:w="0"/>
            <w:bottom w:type="dxa" w:w="0"/>
          </w:tblCellMar>
        </w:tblPrEx>
        <w:tc>
          <w:tcPr>
            <w:tcW w:type="dxa" w:w="570"/>
            <w:tcBorders>
              <w:top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center"/>
              <w:rPr>
                <w:rFonts w:hAnsi="Times New Roman" w:ascii="Times New Roman"/>
                <w:b/>
                <w:sz w:val="22"/>
                <w:szCs w:val="22"/>
              </w:rPr>
            </w:pPr>
            <w:proofErr w:type="spellStart"/>
            <w:r>
              <w:rPr>
                <w:rFonts w:hAnsi="Times New Roman" w:ascii="Times New Roman"/>
                <w:b/>
                <w:sz w:val="22"/>
                <w:szCs w:val="22"/>
              </w:rPr>
              <w:t>Rb</w:t>
            </w:r>
            <w:proofErr w:type="spellEnd"/>
          </w:p>
        </w:tc>
        <w:tc>
          <w:tcPr>
            <w:tcW w:type="dxa" w:w="4260"/>
            <w:tcBorders>
              <w:top w:space="0" w:sz="4" w:color="000080" w:val="single"/>
              <w:left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center"/>
              <w:rPr>
                <w:rFonts w:hAnsi="Times New Roman" w:ascii="Times New Roman"/>
                <w:b/>
                <w:sz w:val="22"/>
                <w:szCs w:val="22"/>
              </w:rPr>
            </w:pPr>
            <w:r>
              <w:rPr>
                <w:rFonts w:hAnsi="Times New Roman" w:ascii="Times New Roman"/>
                <w:b/>
                <w:sz w:val="22"/>
                <w:szCs w:val="22"/>
              </w:rPr>
              <w:t>Naziv vjerovnika stečajne mase</w:t>
            </w:r>
          </w:p>
        </w:tc>
        <w:tc>
          <w:tcPr>
            <w:tcW w:type="dxa" w:w="3105"/>
            <w:tcBorders>
              <w:top w:space="0" w:sz="4" w:color="000080" w:val="single"/>
              <w:left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center"/>
              <w:rPr>
                <w:rFonts w:hAnsi="Times New Roman" w:ascii="Times New Roman"/>
                <w:b/>
                <w:sz w:val="22"/>
                <w:szCs w:val="22"/>
              </w:rPr>
            </w:pPr>
            <w:r>
              <w:rPr>
                <w:rFonts w:hAnsi="Times New Roman" w:ascii="Times New Roman"/>
                <w:b/>
                <w:sz w:val="22"/>
                <w:szCs w:val="22"/>
              </w:rPr>
              <w:t>Osnova</w:t>
            </w:r>
          </w:p>
        </w:tc>
        <w:tc>
          <w:tcPr>
            <w:tcW w:type="dxa" w:w="1695"/>
            <w:tcBorders>
              <w:top w:space="0" w:sz="4" w:color="000080" w:val="single"/>
              <w:left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center"/>
              <w:rPr>
                <w:rFonts w:hAnsi="Times New Roman" w:ascii="Times New Roman"/>
                <w:b/>
                <w:sz w:val="22"/>
                <w:szCs w:val="22"/>
              </w:rPr>
            </w:pPr>
            <w:r>
              <w:rPr>
                <w:rFonts w:hAnsi="Times New Roman" w:ascii="Times New Roman"/>
                <w:b/>
                <w:sz w:val="22"/>
                <w:szCs w:val="22"/>
              </w:rPr>
              <w:t>Iznos</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1.</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ERSTE d.d.</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Naknada za vođenje ž. računa</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187,24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2.</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Stečajni upravitelj</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Putni trošak, 2,00 kn/km</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4.190,00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3.</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HP d.d.</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Poštarina</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46,00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4.</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HEP ELEKTRA d.o.o.</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Električna energija</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163,30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5</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Grad Slavonski Brod</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Komunalna naknada</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432,76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6.</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Grad Varaždin</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Komunalna naknada i vode</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10.500,00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7.</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ĐURO ĐAKOVIĆ STAN d.o.o.</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Pričuva</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1.000,00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8.</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VODOVOD d.o.o.</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Vodne usluge</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30,06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9.</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Državni proračun</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PDV</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1.338,64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10.</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KALI d.o.o.</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Knjigovodstvo</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1.000,00 kn</w:t>
            </w:r>
          </w:p>
        </w:tc>
      </w:tr>
      <w:tr w:rsidTr="0020751C" w:rsidR="00096B5A">
        <w:tblPrEx>
          <w:tblCellMar>
            <w:top w:type="dxa" w:w="0"/>
            <w:bottom w:type="dxa" w:w="0"/>
          </w:tblCellMar>
        </w:tblPrEx>
        <w:tc>
          <w:tcPr>
            <w:tcW w:type="dxa" w:w="570"/>
            <w:tcMar>
              <w:top w:type="dxa" w:w="0"/>
              <w:left w:type="dxa" w:w="108"/>
              <w:bottom w:type="dxa" w:w="0"/>
              <w:right w:type="dxa" w:w="108"/>
            </w:tcMar>
          </w:tcPr>
          <w:p w:rsidRDefault="00096B5A" w:rsidP="0020751C" w:rsidR="00096B5A">
            <w:pPr>
              <w:pStyle w:val="Standard"/>
              <w:snapToGrid w:val="false"/>
              <w:jc w:val="center"/>
              <w:rPr>
                <w:rFonts w:hAnsi="Times New Roman" w:ascii="Times New Roman"/>
                <w:sz w:val="22"/>
                <w:szCs w:val="22"/>
              </w:rPr>
            </w:pPr>
            <w:r>
              <w:rPr>
                <w:rFonts w:hAnsi="Times New Roman" w:ascii="Times New Roman"/>
                <w:sz w:val="22"/>
                <w:szCs w:val="22"/>
              </w:rPr>
              <w:t>11.</w:t>
            </w:r>
          </w:p>
        </w:tc>
        <w:tc>
          <w:tcPr>
            <w:tcW w:type="dxa" w:w="4260"/>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Javni bilježnik</w:t>
            </w:r>
          </w:p>
        </w:tc>
        <w:tc>
          <w:tcPr>
            <w:tcW w:type="dxa" w:w="310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sz w:val="22"/>
                <w:szCs w:val="22"/>
              </w:rPr>
            </w:pPr>
            <w:r>
              <w:rPr>
                <w:rFonts w:hAnsi="Times New Roman" w:ascii="Times New Roman"/>
                <w:sz w:val="22"/>
                <w:szCs w:val="22"/>
              </w:rPr>
              <w:t>Pristojba za ovrhu</w:t>
            </w:r>
          </w:p>
        </w:tc>
        <w:tc>
          <w:tcPr>
            <w:tcW w:type="dxa" w:w="1695"/>
            <w:tcBorders>
              <w:left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sz w:val="22"/>
                <w:szCs w:val="22"/>
              </w:rPr>
            </w:pPr>
            <w:r>
              <w:rPr>
                <w:rFonts w:hAnsi="Times New Roman" w:ascii="Times New Roman"/>
                <w:sz w:val="22"/>
                <w:szCs w:val="22"/>
              </w:rPr>
              <w:t>468,75 kn</w:t>
            </w:r>
          </w:p>
        </w:tc>
      </w:tr>
      <w:tr w:rsidTr="0020751C" w:rsidR="00096B5A">
        <w:tblPrEx>
          <w:tblCellMar>
            <w:top w:type="dxa" w:w="0"/>
            <w:bottom w:type="dxa" w:w="0"/>
          </w:tblCellMar>
        </w:tblPrEx>
        <w:tc>
          <w:tcPr>
            <w:tcW w:type="dxa" w:w="570"/>
            <w:tcBorders>
              <w:top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center"/>
              <w:rPr>
                <w:rFonts w:hAnsi="Times New Roman" w:ascii="Times New Roman"/>
                <w:b/>
                <w:sz w:val="22"/>
                <w:szCs w:val="22"/>
              </w:rPr>
            </w:pPr>
          </w:p>
        </w:tc>
        <w:tc>
          <w:tcPr>
            <w:tcW w:type="dxa" w:w="7365"/>
            <w:gridSpan w:val="2"/>
            <w:tcBorders>
              <w:top w:space="0" w:sz="4" w:color="000080" w:val="single"/>
              <w:left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both"/>
              <w:rPr>
                <w:rFonts w:hAnsi="Times New Roman" w:ascii="Times New Roman"/>
                <w:b/>
                <w:sz w:val="22"/>
                <w:szCs w:val="22"/>
              </w:rPr>
            </w:pPr>
            <w:r>
              <w:rPr>
                <w:rFonts w:hAnsi="Times New Roman" w:ascii="Times New Roman"/>
                <w:b/>
                <w:sz w:val="22"/>
                <w:szCs w:val="22"/>
              </w:rPr>
              <w:t>UKUPNO</w:t>
            </w:r>
          </w:p>
        </w:tc>
        <w:tc>
          <w:tcPr>
            <w:tcW w:type="dxa" w:w="1695"/>
            <w:tcBorders>
              <w:top w:space="0" w:sz="4" w:color="000080" w:val="single"/>
              <w:left w:space="0" w:sz="4" w:color="000080" w:val="single"/>
              <w:bottom w:space="0" w:sz="4" w:color="000080" w:val="single"/>
            </w:tcBorders>
            <w:tcMar>
              <w:top w:type="dxa" w:w="0"/>
              <w:left w:type="dxa" w:w="108"/>
              <w:bottom w:type="dxa" w:w="0"/>
              <w:right w:type="dxa" w:w="108"/>
            </w:tcMar>
          </w:tcPr>
          <w:p w:rsidRDefault="00096B5A" w:rsidP="0020751C" w:rsidR="00096B5A">
            <w:pPr>
              <w:pStyle w:val="Standard"/>
              <w:snapToGrid w:val="false"/>
              <w:jc w:val="right"/>
              <w:rPr>
                <w:rFonts w:hAnsi="Times New Roman" w:ascii="Times New Roman"/>
                <w:b/>
                <w:sz w:val="22"/>
                <w:szCs w:val="22"/>
              </w:rPr>
            </w:pPr>
            <w:r>
              <w:rPr>
                <w:rFonts w:hAnsi="Times New Roman" w:ascii="Times New Roman"/>
                <w:b/>
                <w:sz w:val="22"/>
                <w:szCs w:val="22"/>
              </w:rPr>
              <w:t>19.326,79 kn</w:t>
            </w:r>
          </w:p>
        </w:tc>
      </w:tr>
    </w:tbl>
    <w:p w:rsidRDefault="00096B5A" w:rsidP="00096B5A" w:rsidR="00096B5A">
      <w:pPr>
        <w:pStyle w:val="Standard"/>
        <w:jc w:val="both"/>
        <w:rPr>
          <w:rFonts w:hAnsi="Times New Roman" w:ascii="Times New Roman"/>
        </w:rPr>
      </w:pP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Vjerovnici stečajne mase namireni su u djelomično prema prilivu novčanih sredstava i prema osnovanosti potraživanja.</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7. dati podatak o isplatama plaća radnika ako su nastavili s radom nakon otvaranja stečajnoga postupka</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 xml:space="preserve">Nema zaposlenih radnika kod stečajnog dužnika budući je sa svim radnicima raskinut ugovor o radu prije otvaranja stečajnog postupka, osim za dvije radnice kojima su u stečaju otkazani ugovori o radu, a za koje nije postojala obveza isplate plaća u stečaju radi činjenice da su se iste nalazile na </w:t>
      </w:r>
      <w:proofErr w:type="spellStart"/>
      <w:r>
        <w:rPr>
          <w:rFonts w:hAnsi="Times New Roman" w:ascii="Times New Roman"/>
          <w:sz w:val="22"/>
          <w:szCs w:val="22"/>
        </w:rPr>
        <w:t>porodiljnom</w:t>
      </w:r>
      <w:proofErr w:type="spellEnd"/>
      <w:r>
        <w:rPr>
          <w:rFonts w:hAnsi="Times New Roman" w:ascii="Times New Roman"/>
          <w:sz w:val="22"/>
          <w:szCs w:val="22"/>
        </w:rPr>
        <w:t xml:space="preserve"> dopustu.</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8. dati podatak o namirenju stečajnih vjerovnika (diobe)</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Nisu stvoreni uvjeti za diobu radi okolnosti da nije ostvaren znatniji priljev novčanih sredstava od naplaćenih potraživanja, zakupnina i prodaje imovine, te je nužno osigurati novčana sredstva za vođenje ovršnih i parničnih postupaka radi naplate potraživanja.</w:t>
      </w:r>
    </w:p>
    <w:p w:rsidRDefault="00096B5A" w:rsidP="00096B5A" w:rsidR="00096B5A">
      <w:pPr>
        <w:pStyle w:val="Standard"/>
        <w:jc w:val="both"/>
        <w:rPr>
          <w:rFonts w:hAnsi="Times New Roman" w:ascii="Times New Roman"/>
          <w:sz w:val="22"/>
          <w:szCs w:val="22"/>
        </w:rPr>
      </w:pPr>
    </w:p>
    <w:p w:rsidRDefault="00096B5A" w:rsidP="00096B5A" w:rsidR="00096B5A">
      <w:pPr>
        <w:pStyle w:val="Standard"/>
        <w:jc w:val="both"/>
        <w:rPr>
          <w:rFonts w:hAnsi="Times New Roman" w:ascii="Times New Roman"/>
          <w:i/>
          <w:iCs/>
          <w:sz w:val="22"/>
          <w:szCs w:val="22"/>
        </w:rPr>
      </w:pPr>
      <w:r>
        <w:rPr>
          <w:rFonts w:hAnsi="Times New Roman" w:ascii="Times New Roman"/>
          <w:i/>
          <w:iCs/>
          <w:sz w:val="22"/>
          <w:szCs w:val="22"/>
        </w:rPr>
        <w:t>9. ostali podaci.</w:t>
      </w:r>
    </w:p>
    <w:p w:rsidRDefault="00096B5A" w:rsidP="00096B5A" w:rsidR="00096B5A">
      <w:pPr>
        <w:pStyle w:val="Standard"/>
        <w:jc w:val="both"/>
        <w:rPr>
          <w:rFonts w:hAnsi="Times New Roman" w:ascii="Times New Roman"/>
          <w:sz w:val="22"/>
          <w:szCs w:val="22"/>
        </w:rPr>
      </w:pPr>
      <w:r>
        <w:rPr>
          <w:rFonts w:hAnsi="Times New Roman" w:ascii="Times New Roman"/>
          <w:sz w:val="22"/>
          <w:szCs w:val="22"/>
        </w:rPr>
        <w:t>U razdoblju od 11.08.2018. godine do 15.11.2018. godine ostvareni su prihodi i rashodi kako slijedi:</w:t>
      </w:r>
    </w:p>
    <w:p w:rsidRDefault="00096B5A" w:rsidP="00096B5A" w:rsidR="00096B5A">
      <w:pPr>
        <w:pStyle w:val="Standard"/>
        <w:ind w:left="-540"/>
        <w:jc w:val="both"/>
        <w:rPr>
          <w:rFonts w:hAnsi="Times New Roman" w:ascii="Times New Roman"/>
          <w:sz w:val="22"/>
          <w:szCs w:val="22"/>
        </w:rPr>
      </w:pPr>
    </w:p>
    <w:tbl>
      <w:tblPr>
        <w:tblW w:type="dxa" w:w="9611"/>
        <w:tblInd w:type="dxa" w:w="6"/>
        <w:tblLayout w:type="fixed"/>
        <w:tblCellMar>
          <w:left w:type="dxa" w:w="10"/>
          <w:right w:type="dxa" w:w="10"/>
        </w:tblCellMar>
        <w:tblLook w:val="04A0" w:noVBand="1" w:noHBand="0" w:lastColumn="0" w:firstColumn="1" w:lastRow="0" w:firstRow="1"/>
      </w:tblPr>
      <w:tblGrid>
        <w:gridCol w:w="2940"/>
        <w:gridCol w:w="1368"/>
        <w:gridCol w:w="3624"/>
        <w:gridCol w:w="1679"/>
      </w:tblGrid>
      <w:tr w:rsidTr="0020751C" w:rsidR="00096B5A">
        <w:tblPrEx>
          <w:tblCellMar>
            <w:top w:type="dxa" w:w="0"/>
            <w:bottom w:type="dxa" w:w="0"/>
          </w:tblCellMar>
        </w:tblPrEx>
        <w:tc>
          <w:tcPr>
            <w:tcW w:type="dxa" w:w="2940"/>
            <w:tcBorders>
              <w:top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center"/>
              <w:rPr>
                <w:rFonts w:hAnsi="Times New Roman" w:ascii="Times New Roman"/>
                <w:b/>
                <w:sz w:val="22"/>
                <w:szCs w:val="22"/>
              </w:rPr>
            </w:pPr>
            <w:r>
              <w:rPr>
                <w:rFonts w:hAnsi="Times New Roman" w:ascii="Times New Roman"/>
                <w:b/>
                <w:sz w:val="22"/>
                <w:szCs w:val="22"/>
              </w:rPr>
              <w:t>Prihodi</w:t>
            </w:r>
          </w:p>
        </w:tc>
        <w:tc>
          <w:tcPr>
            <w:tcW w:type="dxa" w:w="1368"/>
            <w:tcBorders>
              <w:top w:space="0" w:sz="2" w:color="000080" w:val="single"/>
              <w:left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center"/>
              <w:rPr>
                <w:rFonts w:hAnsi="Times New Roman" w:ascii="Times New Roman"/>
                <w:b/>
                <w:sz w:val="22"/>
                <w:szCs w:val="22"/>
              </w:rPr>
            </w:pPr>
            <w:r>
              <w:rPr>
                <w:rFonts w:hAnsi="Times New Roman" w:ascii="Times New Roman"/>
                <w:b/>
                <w:sz w:val="22"/>
                <w:szCs w:val="22"/>
              </w:rPr>
              <w:t>Iznos</w:t>
            </w:r>
          </w:p>
        </w:tc>
        <w:tc>
          <w:tcPr>
            <w:tcW w:type="dxa" w:w="3624"/>
            <w:tcBorders>
              <w:top w:space="0" w:sz="2" w:color="000080" w:val="single"/>
              <w:left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center"/>
              <w:rPr>
                <w:rFonts w:hAnsi="Times New Roman" w:ascii="Times New Roman"/>
                <w:b/>
                <w:sz w:val="22"/>
                <w:szCs w:val="22"/>
              </w:rPr>
            </w:pPr>
            <w:r>
              <w:rPr>
                <w:rFonts w:hAnsi="Times New Roman" w:ascii="Times New Roman"/>
                <w:b/>
                <w:sz w:val="22"/>
                <w:szCs w:val="22"/>
              </w:rPr>
              <w:t>Rashodi</w:t>
            </w:r>
          </w:p>
        </w:tc>
        <w:tc>
          <w:tcPr>
            <w:tcW w:type="dxa" w:w="1679"/>
            <w:tcBorders>
              <w:top w:space="0" w:sz="2" w:color="000080" w:val="single"/>
              <w:left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center"/>
              <w:rPr>
                <w:rFonts w:hAnsi="Times New Roman" w:ascii="Times New Roman"/>
                <w:b/>
                <w:sz w:val="22"/>
                <w:szCs w:val="22"/>
              </w:rPr>
            </w:pPr>
            <w:r>
              <w:rPr>
                <w:rFonts w:hAnsi="Times New Roman" w:ascii="Times New Roman"/>
                <w:b/>
                <w:sz w:val="22"/>
                <w:szCs w:val="22"/>
              </w:rPr>
              <w:t>Iznos</w:t>
            </w:r>
          </w:p>
        </w:tc>
      </w:tr>
      <w:tr w:rsidTr="0020751C" w:rsidR="00096B5A">
        <w:tblPrEx>
          <w:tblCellMar>
            <w:top w:type="dxa" w:w="0"/>
            <w:bottom w:type="dxa" w:w="0"/>
          </w:tblCellMar>
        </w:tblPrEx>
        <w:tc>
          <w:tcPr>
            <w:tcW w:type="dxa" w:w="2940"/>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sz w:val="22"/>
                <w:szCs w:val="22"/>
              </w:rPr>
            </w:pPr>
            <w:r>
              <w:rPr>
                <w:rFonts w:hAnsi="Times New Roman" w:ascii="Times New Roman"/>
                <w:sz w:val="22"/>
                <w:szCs w:val="22"/>
              </w:rPr>
              <w:t>Naplata potraživanja</w:t>
            </w:r>
          </w:p>
        </w:tc>
        <w:tc>
          <w:tcPr>
            <w:tcW w:type="dxa" w:w="1368"/>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sz w:val="22"/>
                <w:szCs w:val="22"/>
              </w:rPr>
            </w:pPr>
            <w:r>
              <w:rPr>
                <w:rFonts w:hAnsi="Times New Roman" w:ascii="Times New Roman"/>
                <w:sz w:val="22"/>
                <w:szCs w:val="22"/>
              </w:rPr>
              <w:t>35.106,35 kn</w:t>
            </w:r>
          </w:p>
        </w:tc>
        <w:tc>
          <w:tcPr>
            <w:tcW w:type="dxa" w:w="3624"/>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sz w:val="22"/>
                <w:szCs w:val="22"/>
              </w:rPr>
            </w:pPr>
            <w:r>
              <w:rPr>
                <w:rFonts w:hAnsi="Times New Roman" w:ascii="Times New Roman"/>
                <w:sz w:val="22"/>
                <w:szCs w:val="22"/>
              </w:rPr>
              <w:t>Obveze i troškovi stečajne mase</w:t>
            </w:r>
          </w:p>
        </w:tc>
        <w:tc>
          <w:tcPr>
            <w:tcW w:type="dxa" w:w="1679"/>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sz w:val="22"/>
                <w:szCs w:val="22"/>
              </w:rPr>
            </w:pPr>
            <w:r>
              <w:rPr>
                <w:rFonts w:hAnsi="Times New Roman" w:ascii="Times New Roman"/>
                <w:sz w:val="22"/>
                <w:szCs w:val="22"/>
              </w:rPr>
              <w:t>19.326,79 kn</w:t>
            </w:r>
          </w:p>
        </w:tc>
      </w:tr>
      <w:tr w:rsidTr="0020751C" w:rsidR="00096B5A">
        <w:tblPrEx>
          <w:tblCellMar>
            <w:top w:type="dxa" w:w="0"/>
            <w:bottom w:type="dxa" w:w="0"/>
          </w:tblCellMar>
        </w:tblPrEx>
        <w:tc>
          <w:tcPr>
            <w:tcW w:type="dxa" w:w="2940"/>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sz w:val="22"/>
                <w:szCs w:val="22"/>
              </w:rPr>
            </w:pPr>
            <w:r>
              <w:rPr>
                <w:rFonts w:hAnsi="Times New Roman" w:ascii="Times New Roman"/>
                <w:sz w:val="22"/>
                <w:szCs w:val="22"/>
              </w:rPr>
              <w:t>Pasivna kamata</w:t>
            </w:r>
          </w:p>
        </w:tc>
        <w:tc>
          <w:tcPr>
            <w:tcW w:type="dxa" w:w="1368"/>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sz w:val="22"/>
                <w:szCs w:val="22"/>
              </w:rPr>
            </w:pPr>
            <w:r>
              <w:rPr>
                <w:rFonts w:hAnsi="Times New Roman" w:ascii="Times New Roman"/>
                <w:sz w:val="22"/>
                <w:szCs w:val="22"/>
              </w:rPr>
              <w:t>0,05 kn</w:t>
            </w:r>
          </w:p>
        </w:tc>
        <w:tc>
          <w:tcPr>
            <w:tcW w:type="dxa" w:w="3624"/>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sz w:val="22"/>
                <w:szCs w:val="22"/>
              </w:rPr>
            </w:pPr>
          </w:p>
        </w:tc>
        <w:tc>
          <w:tcPr>
            <w:tcW w:type="dxa" w:w="1679"/>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sz w:val="22"/>
                <w:szCs w:val="22"/>
              </w:rPr>
            </w:pPr>
          </w:p>
        </w:tc>
      </w:tr>
      <w:tr w:rsidTr="0020751C" w:rsidR="00096B5A">
        <w:tblPrEx>
          <w:tblCellMar>
            <w:top w:type="dxa" w:w="0"/>
            <w:bottom w:type="dxa" w:w="0"/>
          </w:tblCellMar>
        </w:tblPrEx>
        <w:tc>
          <w:tcPr>
            <w:tcW w:type="dxa" w:w="2940"/>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sz w:val="22"/>
                <w:szCs w:val="22"/>
              </w:rPr>
            </w:pPr>
            <w:r>
              <w:rPr>
                <w:rFonts w:hAnsi="Times New Roman" w:ascii="Times New Roman"/>
                <w:sz w:val="22"/>
                <w:szCs w:val="22"/>
              </w:rPr>
              <w:t>Prodaja zaliha</w:t>
            </w:r>
          </w:p>
        </w:tc>
        <w:tc>
          <w:tcPr>
            <w:tcW w:type="dxa" w:w="1368"/>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sz w:val="22"/>
                <w:szCs w:val="22"/>
              </w:rPr>
            </w:pPr>
            <w:r>
              <w:rPr>
                <w:rFonts w:hAnsi="Times New Roman" w:ascii="Times New Roman"/>
                <w:sz w:val="22"/>
                <w:szCs w:val="22"/>
              </w:rPr>
              <w:t>1.147,88 kn</w:t>
            </w:r>
          </w:p>
        </w:tc>
        <w:tc>
          <w:tcPr>
            <w:tcW w:type="dxa" w:w="3624"/>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sz w:val="22"/>
                <w:szCs w:val="22"/>
              </w:rPr>
            </w:pPr>
          </w:p>
        </w:tc>
        <w:tc>
          <w:tcPr>
            <w:tcW w:type="dxa" w:w="1679"/>
            <w:tcBorders>
              <w:left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sz w:val="22"/>
                <w:szCs w:val="22"/>
              </w:rPr>
            </w:pPr>
          </w:p>
        </w:tc>
      </w:tr>
      <w:tr w:rsidTr="0020751C" w:rsidR="00096B5A">
        <w:tblPrEx>
          <w:tblCellMar>
            <w:top w:type="dxa" w:w="0"/>
            <w:bottom w:type="dxa" w:w="0"/>
          </w:tblCellMar>
        </w:tblPrEx>
        <w:tc>
          <w:tcPr>
            <w:tcW w:type="dxa" w:w="2940"/>
            <w:tcBorders>
              <w:top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b/>
                <w:sz w:val="22"/>
                <w:szCs w:val="22"/>
              </w:rPr>
            </w:pPr>
            <w:r>
              <w:rPr>
                <w:rFonts w:hAnsi="Times New Roman" w:ascii="Times New Roman"/>
                <w:b/>
                <w:sz w:val="22"/>
                <w:szCs w:val="22"/>
              </w:rPr>
              <w:t>UKUPNO</w:t>
            </w:r>
          </w:p>
        </w:tc>
        <w:tc>
          <w:tcPr>
            <w:tcW w:type="dxa" w:w="1368"/>
            <w:tcBorders>
              <w:top w:space="0" w:sz="2" w:color="000080" w:val="single"/>
              <w:left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b/>
                <w:sz w:val="22"/>
                <w:szCs w:val="22"/>
              </w:rPr>
            </w:pPr>
            <w:r>
              <w:rPr>
                <w:rFonts w:hAnsi="Times New Roman" w:ascii="Times New Roman"/>
                <w:b/>
                <w:sz w:val="22"/>
                <w:szCs w:val="22"/>
              </w:rPr>
              <w:t>36.254,28 kn</w:t>
            </w:r>
          </w:p>
        </w:tc>
        <w:tc>
          <w:tcPr>
            <w:tcW w:type="dxa" w:w="3624"/>
            <w:tcBorders>
              <w:top w:space="0" w:sz="2" w:color="000080" w:val="single"/>
              <w:left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both"/>
              <w:rPr>
                <w:rFonts w:hAnsi="Times New Roman" w:ascii="Times New Roman"/>
                <w:b/>
                <w:sz w:val="22"/>
                <w:szCs w:val="22"/>
              </w:rPr>
            </w:pPr>
            <w:r>
              <w:rPr>
                <w:rFonts w:hAnsi="Times New Roman" w:ascii="Times New Roman"/>
                <w:b/>
                <w:sz w:val="22"/>
                <w:szCs w:val="22"/>
              </w:rPr>
              <w:t>UKUPNO</w:t>
            </w:r>
          </w:p>
        </w:tc>
        <w:tc>
          <w:tcPr>
            <w:tcW w:type="dxa" w:w="1679"/>
            <w:tcBorders>
              <w:top w:space="0" w:sz="2" w:color="000080" w:val="single"/>
              <w:left w:space="0" w:sz="2" w:color="000080" w:val="single"/>
              <w:bottom w:space="0" w:sz="2" w:color="000080" w:val="single"/>
            </w:tcBorders>
            <w:tcMar>
              <w:top w:type="dxa" w:w="55"/>
              <w:left w:type="dxa" w:w="55"/>
              <w:bottom w:type="dxa" w:w="55"/>
              <w:right w:type="dxa" w:w="55"/>
            </w:tcMar>
          </w:tcPr>
          <w:p w:rsidRDefault="00096B5A" w:rsidP="0020751C" w:rsidR="00096B5A">
            <w:pPr>
              <w:pStyle w:val="Standard"/>
              <w:snapToGrid w:val="false"/>
              <w:spacing w:lineRule="atLeast" w:line="0"/>
              <w:jc w:val="right"/>
              <w:rPr>
                <w:rFonts w:hAnsi="Times New Roman" w:ascii="Times New Roman"/>
                <w:b/>
                <w:sz w:val="22"/>
                <w:szCs w:val="22"/>
              </w:rPr>
            </w:pPr>
            <w:r>
              <w:rPr>
                <w:rFonts w:hAnsi="Times New Roman" w:ascii="Times New Roman"/>
                <w:b/>
                <w:sz w:val="22"/>
                <w:szCs w:val="22"/>
              </w:rPr>
              <w:t>19.326,79 kn</w:t>
            </w:r>
          </w:p>
        </w:tc>
      </w:tr>
    </w:tbl>
    <w:p w:rsidRDefault="00096B5A" w:rsidP="00096B5A" w:rsidR="00096B5A">
      <w:pPr>
        <w:pStyle w:val="Standard"/>
        <w:ind w:left="-540"/>
        <w:jc w:val="both"/>
        <w:rPr>
          <w:rFonts w:hAnsi="Times New Roman" w:ascii="Times New Roman"/>
        </w:rPr>
      </w:pP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Stanje novčanih sredstava u blagajni na dan 16.11.2018. godine iznosi 0,00 kn.</w:t>
      </w:r>
    </w:p>
    <w:p w:rsidRDefault="00096B5A" w:rsidP="00096B5A" w:rsidR="00096B5A">
      <w:pPr>
        <w:pStyle w:val="Standard"/>
        <w:tabs>
          <w:tab w:pos="9283" w:val="left"/>
        </w:tabs>
        <w:jc w:val="both"/>
        <w:rPr>
          <w:rFonts w:hAnsi="Times New Roman" w:ascii="Times New Roman"/>
          <w:sz w:val="22"/>
          <w:szCs w:val="22"/>
        </w:rPr>
      </w:pP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Stanje novčanih sredstava na žiro računu na dan 16.11.2018. godine iznosi 43.720,12 kn.</w:t>
      </w:r>
    </w:p>
    <w:p w:rsidRDefault="00096B5A" w:rsidP="00096B5A" w:rsidR="00096B5A">
      <w:pPr>
        <w:pStyle w:val="Standard"/>
        <w:tabs>
          <w:tab w:pos="9283" w:val="left"/>
        </w:tabs>
        <w:jc w:val="both"/>
        <w:rPr>
          <w:rFonts w:hAnsi="Times New Roman" w:ascii="Times New Roman"/>
          <w:sz w:val="22"/>
          <w:szCs w:val="22"/>
        </w:rPr>
      </w:pPr>
    </w:p>
    <w:p w:rsidRDefault="00096B5A" w:rsidP="00096B5A" w:rsidR="00096B5A">
      <w:pPr>
        <w:pStyle w:val="Standard"/>
        <w:tabs>
          <w:tab w:pos="9283" w:val="left"/>
        </w:tabs>
        <w:jc w:val="both"/>
        <w:rPr>
          <w:rFonts w:hAnsi="Times New Roman" w:ascii="Times New Roman"/>
          <w:b/>
          <w:sz w:val="22"/>
          <w:szCs w:val="22"/>
        </w:rPr>
      </w:pPr>
      <w:r>
        <w:rPr>
          <w:rFonts w:hAnsi="Times New Roman" w:ascii="Times New Roman"/>
          <w:b/>
          <w:sz w:val="22"/>
          <w:szCs w:val="22"/>
        </w:rPr>
        <w:t>III. RADNJE KOJE ĆE SE PODUZETI U NAREDNOM RAZDOBLJU</w:t>
      </w:r>
    </w:p>
    <w:p w:rsidRDefault="00096B5A" w:rsidP="00096B5A" w:rsidR="00096B5A">
      <w:pPr>
        <w:pStyle w:val="Standard"/>
        <w:tabs>
          <w:tab w:pos="9283" w:val="left"/>
        </w:tabs>
        <w:jc w:val="both"/>
        <w:rPr>
          <w:rFonts w:hAnsi="Times New Roman" w:ascii="Times New Roman"/>
          <w:i/>
          <w:iCs/>
          <w:sz w:val="22"/>
          <w:szCs w:val="22"/>
        </w:rPr>
      </w:pPr>
      <w:r>
        <w:rPr>
          <w:rFonts w:hAnsi="Times New Roman" w:ascii="Times New Roman"/>
          <w:i/>
          <w:iCs/>
          <w:sz w:val="22"/>
          <w:szCs w:val="22"/>
        </w:rPr>
        <w:t>Naznačiti radnje koje će se poduzeti u narednom razdoblju od 15.11.2018. godine do 15.02.2019. godine.</w:t>
      </w:r>
    </w:p>
    <w:p w:rsidRDefault="00096B5A" w:rsidP="00096B5A" w:rsidR="00096B5A">
      <w:pPr>
        <w:pStyle w:val="Standard"/>
        <w:tabs>
          <w:tab w:pos="9283" w:val="left"/>
        </w:tabs>
        <w:jc w:val="both"/>
        <w:rPr>
          <w:rFonts w:hAnsi="Times New Roman" w:ascii="Times New Roman"/>
          <w:i/>
          <w:iCs/>
          <w:sz w:val="22"/>
          <w:szCs w:val="22"/>
        </w:rPr>
      </w:pPr>
      <w:r>
        <w:rPr>
          <w:rFonts w:hAnsi="Times New Roman" w:ascii="Times New Roman"/>
          <w:i/>
          <w:iCs/>
          <w:sz w:val="22"/>
          <w:szCs w:val="22"/>
        </w:rPr>
        <w:t>Ako stečajni upravitelj izvješće podnosi radi donošenja odluka pojedinog tijela stečajnoga postupka, izvješće sadrži i prijedlog odluka.</w:t>
      </w:r>
    </w:p>
    <w:p w:rsidRDefault="00096B5A" w:rsidP="00096B5A" w:rsidR="00096B5A">
      <w:pPr>
        <w:pStyle w:val="Standard"/>
        <w:tabs>
          <w:tab w:pos="9283" w:val="left"/>
        </w:tabs>
        <w:jc w:val="both"/>
        <w:rPr>
          <w:rFonts w:hAnsi="Times New Roman" w:ascii="Times New Roman"/>
          <w:i/>
          <w:iCs/>
          <w:sz w:val="22"/>
          <w:szCs w:val="22"/>
        </w:rPr>
      </w:pP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U razdoblju od 15.11.2018. do 15.02.2019. godine poduzet će se slijedeće radnje:</w:t>
      </w: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-daljnja naplata potraživanja od dužnikovih dužnika,</w:t>
      </w: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-prodaja pokretnina,</w:t>
      </w: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-prodaja nekretnina putem FINA-e uz prethodnu procjenu po građevinskom vještaku.</w:t>
      </w:r>
    </w:p>
    <w:p w:rsidRDefault="00096B5A" w:rsidP="00096B5A" w:rsidR="00096B5A">
      <w:pPr>
        <w:pStyle w:val="Standard"/>
        <w:tabs>
          <w:tab w:pos="9283" w:val="left"/>
        </w:tabs>
        <w:jc w:val="both"/>
        <w:rPr>
          <w:rFonts w:hAnsi="Times New Roman" w:ascii="Times New Roman"/>
          <w:sz w:val="22"/>
          <w:szCs w:val="22"/>
        </w:rPr>
      </w:pPr>
    </w:p>
    <w:p w:rsidRDefault="00096B5A" w:rsidP="00096B5A" w:rsidR="00096B5A">
      <w:pPr>
        <w:pStyle w:val="Standard"/>
        <w:tabs>
          <w:tab w:pos="9283" w:val="left"/>
        </w:tabs>
        <w:jc w:val="center"/>
        <w:rPr>
          <w:rFonts w:hAnsi="Times New Roman" w:ascii="Times New Roman"/>
          <w:b/>
          <w:bCs/>
          <w:sz w:val="22"/>
          <w:szCs w:val="22"/>
        </w:rPr>
      </w:pPr>
      <w:r>
        <w:rPr>
          <w:rFonts w:hAnsi="Times New Roman" w:ascii="Times New Roman"/>
          <w:b/>
          <w:bCs/>
          <w:sz w:val="22"/>
          <w:szCs w:val="22"/>
        </w:rPr>
        <w:t>PRIJEDLOZI ODLUKA</w:t>
      </w:r>
    </w:p>
    <w:p w:rsidRDefault="00096B5A" w:rsidP="00096B5A" w:rsidR="00096B5A">
      <w:pPr>
        <w:pStyle w:val="Standard"/>
        <w:tabs>
          <w:tab w:pos="9283" w:val="left"/>
        </w:tabs>
        <w:jc w:val="center"/>
        <w:rPr>
          <w:rFonts w:hAnsi="Times New Roman" w:ascii="Times New Roman"/>
          <w:b/>
          <w:bCs/>
          <w:sz w:val="22"/>
          <w:szCs w:val="22"/>
        </w:rPr>
      </w:pPr>
    </w:p>
    <w:p w:rsidRDefault="00096B5A" w:rsidP="00096B5A" w:rsidR="00096B5A">
      <w:pPr>
        <w:pStyle w:val="Standard"/>
        <w:tabs>
          <w:tab w:pos="9283" w:val="left"/>
        </w:tabs>
        <w:jc w:val="both"/>
        <w:rPr>
          <w:rFonts w:hAnsi="Times New Roman" w:ascii="Times New Roman"/>
          <w:sz w:val="22"/>
          <w:szCs w:val="22"/>
        </w:rPr>
      </w:pPr>
      <w:r>
        <w:rPr>
          <w:rFonts w:hAnsi="Times New Roman" w:ascii="Times New Roman"/>
          <w:sz w:val="22"/>
          <w:szCs w:val="22"/>
        </w:rPr>
        <w:t>-prihvaćaju se sve poduzete radnje stečajnog upravitelja u razdoblju od 11.08.2018. godine do 16.08.2018. godine.</w:t>
      </w:r>
    </w:p>
    <w:p w:rsidRDefault="00096B5A" w:rsidP="00096B5A" w:rsidR="00096B5A">
      <w:pPr>
        <w:pStyle w:val="Standard"/>
        <w:tabs>
          <w:tab w:pos="9283" w:val="left"/>
        </w:tabs>
        <w:jc w:val="both"/>
        <w:rPr>
          <w:rFonts w:hAnsi="Times New Roman" w:ascii="Times New Roman"/>
          <w:sz w:val="22"/>
          <w:szCs w:val="22"/>
        </w:rPr>
      </w:pPr>
    </w:p>
    <w:p w:rsidRDefault="00096B5A" w:rsidP="00096B5A" w:rsidR="00096B5A">
      <w:pPr>
        <w:pStyle w:val="Standard"/>
        <w:ind w:right="-794"/>
        <w:jc w:val="both"/>
        <w:rPr>
          <w:rFonts w:hAnsi="Times New Roman" w:ascii="Times New Roman"/>
          <w:sz w:val="22"/>
          <w:szCs w:val="22"/>
        </w:rPr>
      </w:pPr>
      <w:r>
        <w:rPr>
          <w:rFonts w:hAnsi="Times New Roman" w:ascii="Times New Roman"/>
          <w:sz w:val="22"/>
          <w:szCs w:val="22"/>
        </w:rPr>
        <w:t>U Daruvaru, 16.11.2018. godine.</w:t>
      </w:r>
      <w:r>
        <w:rPr>
          <w:rFonts w:hAnsi="Times New Roman" w:ascii="Times New Roman"/>
          <w:sz w:val="22"/>
          <w:szCs w:val="22"/>
        </w:rPr>
        <w:tab/>
        <w:t xml:space="preserve"> </w:t>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 xml:space="preserve">          </w:t>
      </w:r>
    </w:p>
    <w:p w:rsidRDefault="00096B5A" w:rsidP="00096B5A" w:rsidR="00096B5A">
      <w:pPr>
        <w:pStyle w:val="Standard"/>
        <w:ind w:right="-772"/>
        <w:jc w:val="both"/>
        <w:rPr>
          <w:rFonts w:hAnsi="Times New Roman" w:ascii="Times New Roman"/>
          <w:sz w:val="22"/>
          <w:szCs w:val="22"/>
        </w:rPr>
      </w:pPr>
    </w:p>
    <w:p w:rsidRDefault="00096B5A" w:rsidP="00096B5A" w:rsidR="00096B5A">
      <w:pPr>
        <w:pStyle w:val="Standard"/>
        <w:ind w:right="-772" w:left="-576"/>
        <w:jc w:val="both"/>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 xml:space="preserve">          Stečajni upravitelj</w:t>
      </w:r>
    </w:p>
    <w:p w:rsidRDefault="00096B5A" w:rsidP="00096B5A" w:rsidR="00096B5A">
      <w:pPr>
        <w:pStyle w:val="Standard"/>
        <w:ind w:right="-772" w:left="-576"/>
        <w:jc w:val="both"/>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 xml:space="preserve">          Perica Medaković</w:t>
      </w: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Ansi="Times New Roman" w:ascii="Times New Roman"/>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P="00096B5A" w:rsidR="00096B5A">
      <w:pPr>
        <w:pStyle w:val="Standard"/>
        <w:jc w:val="right"/>
        <w:rPr>
          <w:rFonts w:hint="eastAsia"/>
          <w:sz w:val="22"/>
          <w:szCs w:val="22"/>
        </w:rPr>
      </w:pPr>
    </w:p>
    <w:p w:rsidRDefault="00096B5A" w:rsidR="00E529BF">
      <w:bookmarkStart w:name="_GoBack" w:id="0"/>
      <w:bookmarkEnd w:id="0"/>
    </w:p>
    <w:sectPr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00"/>
    <w:family w:val="roman"/>
    <w:pitch w:val="default"/>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B5A"/>
    <w:rsid w:val="00096B5A"/>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6B5A"/>
    <w:pPr>
      <w:suppressAutoHyphens/>
      <w:autoSpaceDN w:val="false"/>
      <w:spacing w:lineRule="auto" w:line="240" w:after="0"/>
      <w:textAlignment w:val="baseline"/>
    </w:pPr>
    <w:rPr>
      <w:rFonts w:cs="Arial" w:eastAsia="SimSun" w:hAnsi="Liberation Serif" w:ascii="Liberation Serif"/>
      <w:kern w:val="3"/>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096B5A"/>
    <w:pPr>
      <w:suppressAutoHyphens/>
      <w:autoSpaceDN w:val="false"/>
      <w:spacing w:lineRule="auto" w:line="240" w:after="0"/>
      <w:textAlignment w:val="baseline"/>
    </w:pPr>
    <w:rPr>
      <w:rFonts w:cs="Arial" w:eastAsia="SimSun" w:hAnsi="Liberation Serif" w:ascii="Liberation Serif"/>
      <w:kern w:val="3"/>
      <w:sz w:val="24"/>
      <w:szCs w:val="24"/>
      <w:lang w:bidi="hi-IN" w:eastAsia="zh-CN"/>
    </w:rPr>
  </w:style>
  <w:style w:customStyle="true" w:styleId="Textbody" w:type="paragraph">
    <w:name w:val="Text body"/>
    <w:basedOn w:val="Standard"/>
    <w:rsid w:val="00096B5A"/>
    <w:pPr>
      <w:spacing w:lineRule="auto" w:line="288" w:after="140"/>
    </w:pPr>
  </w:style>
  <w:style w:customStyle="true" w:styleId="TableContents" w:type="paragraph">
    <w:name w:val="Table Contents"/>
    <w:basedOn w:val="Standard"/>
    <w:rsid w:val="00096B5A"/>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6B5A"/>
    <w:pPr>
      <w:suppressAutoHyphens/>
      <w:autoSpaceDN w:val="0"/>
      <w:spacing w:after="0" w:line="240" w:lineRule="auto"/>
      <w:textAlignment w:val="baseline"/>
    </w:pPr>
    <w:rPr>
      <w:rFonts w:ascii="Liberation Serif" w:cs="Arial" w:eastAsia="SimSun" w:hAnsi="Liberation Serif"/>
      <w:kern w:val="3"/>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096B5A"/>
    <w:pPr>
      <w:suppressAutoHyphens/>
      <w:autoSpaceDN w:val="0"/>
      <w:spacing w:after="0" w:line="240" w:lineRule="auto"/>
      <w:textAlignment w:val="baseline"/>
    </w:pPr>
    <w:rPr>
      <w:rFonts w:ascii="Liberation Serif" w:cs="Arial" w:eastAsia="SimSun" w:hAnsi="Liberation Serif"/>
      <w:kern w:val="3"/>
      <w:sz w:val="24"/>
      <w:szCs w:val="24"/>
      <w:lang w:bidi="hi-IN" w:eastAsia="zh-CN"/>
    </w:rPr>
  </w:style>
  <w:style w:customStyle="1" w:styleId="Textbody" w:type="paragraph">
    <w:name w:val="Text body"/>
    <w:basedOn w:val="Standard"/>
    <w:rsid w:val="00096B5A"/>
    <w:pPr>
      <w:spacing w:after="140" w:line="288" w:lineRule="auto"/>
    </w:pPr>
  </w:style>
  <w:style w:customStyle="1" w:styleId="TableContents" w:type="paragraph">
    <w:name w:val="Table Contents"/>
    <w:basedOn w:val="Standard"/>
    <w:rsid w:val="00096B5A"/>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1788</properties:Words>
  <properties:Characters>10197</properties:Characters>
  <properties:Lines>84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2018-11-22T13:46:00Z</dcterms:created>
  <dc:creator>Željka Vitez</dc:creator>
  <cp:lastModifiedBy>Željka Vitez</cp:lastModifiedBy>
  <dcterms:modified xmlns:xsi="http://www.w3.org/2001/XMLSchema-instance" xsi:type="dcterms:W3CDTF">2018-11-22T13:47:00Z</dcterms:modified>
  <cp:revision>1</cp:revision>
</cp:coreProperties>
</file>