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bd023a" w14:paraId="8bd023a" w:rsidRDefault="007C6B24" w:rsidP="00FF194F" w:rsidR="00524570">
      <w:pPr>
        <w15:collapsed w:val="false"/>
      </w:pPr>
      <w:bookmarkStart w:name="_GoBack" w:id="0"/>
      <w:bookmarkEnd w:id="0"/>
      <w:r>
        <w:t xml:space="preserve">    </w:t>
      </w:r>
      <w:r w:rsidR="001010D3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122F44" w:rsidR="005866EA" w:rsidRPr="002F3D5C">
        <w:tc>
          <w:tcPr>
            <w:tcW w:type="dxa" w:w="3060"/>
          </w:tcPr>
          <w:p w:rsidRDefault="005866EA" w:rsidP="005866EA" w:rsidR="005866EA" w:rsidRPr="002F3D5C">
            <w:r w:rsidRPr="002F3D5C">
              <w:t>REPUBLIKA HRVATSKA</w:t>
            </w:r>
          </w:p>
          <w:p w:rsidRDefault="005866EA" w:rsidP="005866EA" w:rsidR="005866EA" w:rsidRPr="002F3D5C">
            <w:r w:rsidRPr="002F3D5C">
              <w:t>Trgovački sud u Zagrebu</w:t>
            </w:r>
          </w:p>
          <w:p w:rsidRDefault="005866EA" w:rsidP="005866EA" w:rsidR="005866EA" w:rsidRPr="002F3D5C">
            <w:r w:rsidRPr="002F3D5C">
              <w:t>Zagreb, Amruševa 2/II</w:t>
            </w:r>
          </w:p>
        </w:tc>
      </w:tr>
    </w:tbl>
    <w:p w:rsidRDefault="00347AD1" w:rsidP="00347AD1" w:rsidR="00347AD1">
      <w:pPr>
        <w:jc w:val="right"/>
        <w:rPr>
          <w:b/>
        </w:rPr>
      </w:pPr>
    </w:p>
    <w:p w:rsidRDefault="00347AD1" w:rsidP="00347AD1" w:rsidR="00347AD1">
      <w:pPr>
        <w:jc w:val="right"/>
        <w:rPr>
          <w:b/>
        </w:rPr>
      </w:pPr>
    </w:p>
    <w:p w:rsidRDefault="0080397D" w:rsidP="0080397D" w:rsidR="0080397D">
      <w:pPr>
        <w:jc w:val="right"/>
      </w:pPr>
      <w:r w:rsidRPr="00A42440">
        <w:t>40</w:t>
      </w:r>
      <w:r w:rsidRPr="00A42440">
        <w:rPr>
          <w:b/>
        </w:rPr>
        <w:t xml:space="preserve">. </w:t>
      </w:r>
      <w:r w:rsidRPr="00A42440">
        <w:t>St-3</w:t>
      </w:r>
      <w:r>
        <w:t>26</w:t>
      </w:r>
      <w:r w:rsidRPr="00A42440">
        <w:t>/</w:t>
      </w:r>
      <w:r>
        <w:t>2018</w:t>
      </w:r>
    </w:p>
    <w:p w:rsidRDefault="0080397D" w:rsidP="0080397D" w:rsidR="0080397D" w:rsidRPr="00A42440">
      <w:pPr>
        <w:jc w:val="right"/>
      </w:pPr>
    </w:p>
    <w:p w:rsidRDefault="0080397D" w:rsidP="0080397D" w:rsidR="0080397D" w:rsidRPr="00A42440">
      <w:pPr>
        <w:tabs>
          <w:tab w:pos="9072" w:val="right"/>
        </w:tabs>
        <w:jc w:val="center"/>
      </w:pPr>
      <w:r w:rsidRPr="00A42440">
        <w:t xml:space="preserve">REPUBLIKA HRVATSKA </w:t>
      </w:r>
    </w:p>
    <w:p w:rsidRDefault="0080397D" w:rsidP="0080397D" w:rsidR="0080397D" w:rsidRPr="00A42440">
      <w:pPr>
        <w:jc w:val="center"/>
      </w:pPr>
      <w:r w:rsidRPr="00A42440">
        <w:rPr>
          <w:bCs/>
        </w:rPr>
        <w:t>R J E Š E NJ E</w:t>
      </w:r>
    </w:p>
    <w:p w:rsidRDefault="0080397D" w:rsidP="0080397D" w:rsidR="0080397D" w:rsidRPr="00F96540">
      <w:pPr>
        <w:jc w:val="center"/>
      </w:pPr>
    </w:p>
    <w:p w:rsidRDefault="0080397D" w:rsidP="0080397D" w:rsidR="0080397D" w:rsidRPr="00045D71">
      <w:pPr>
        <w:ind w:firstLine="720"/>
        <w:jc w:val="both"/>
      </w:pPr>
      <w:r w:rsidRPr="00045D71">
        <w:t xml:space="preserve">TRGOVAČKI SUD U ZAGREBU po sucu tog suda Anti Galiću, kao sucu pojedincu, u stečajnom postupku nad Stečajnom masom iza stečajnog dužnika MODISSA d.o.o., Zagreb, Radićeva 16., dana </w:t>
      </w:r>
      <w:r>
        <w:t>2</w:t>
      </w:r>
      <w:r w:rsidR="001B1116">
        <w:t>6</w:t>
      </w:r>
      <w:r>
        <w:t xml:space="preserve">.srpnja </w:t>
      </w:r>
      <w:r w:rsidRPr="00045D71">
        <w:t>201</w:t>
      </w:r>
      <w:r>
        <w:t>8</w:t>
      </w:r>
      <w:r w:rsidRPr="00045D71">
        <w:t>.</w:t>
      </w:r>
    </w:p>
    <w:p w:rsidRDefault="00844F17" w:rsidP="00844F17" w:rsidR="00844F17" w:rsidRPr="005F3621">
      <w:pPr>
        <w:jc w:val="both"/>
        <w:rPr>
          <w:sz w:val="40"/>
          <w:szCs w:val="40"/>
        </w:rPr>
      </w:pPr>
    </w:p>
    <w:p w:rsidRDefault="005866EA" w:rsidP="005866EA" w:rsidR="005866EA" w:rsidRPr="00502903">
      <w:pPr>
        <w:jc w:val="center"/>
        <w:rPr>
          <w:b/>
        </w:rPr>
      </w:pPr>
      <w:r w:rsidRPr="00502903">
        <w:rPr>
          <w:b/>
        </w:rPr>
        <w:t>r i j e š i o     j e</w:t>
      </w:r>
    </w:p>
    <w:p w:rsidRDefault="005866EA" w:rsidP="005866EA" w:rsidR="005866EA" w:rsidRPr="00E278BA">
      <w:pPr>
        <w:jc w:val="center"/>
      </w:pPr>
      <w:r>
        <w:t xml:space="preserve"> </w:t>
      </w:r>
    </w:p>
    <w:p w:rsidRDefault="005866EA" w:rsidP="006E6DF0" w:rsidR="00B50E45">
      <w:pPr>
        <w:ind w:firstLine="708"/>
        <w:jc w:val="both"/>
      </w:pPr>
      <w:r>
        <w:t xml:space="preserve">Stečajnom upravitelju </w:t>
      </w:r>
      <w:r w:rsidR="00702CB5">
        <w:t>Milan Bariša Obradović iz Svete Nedelja, Srebrenjak 20b., OIB 45619494339</w:t>
      </w:r>
      <w:r w:rsidR="00AE7330">
        <w:t xml:space="preserve">, </w:t>
      </w:r>
      <w:r w:rsidRPr="00ED1A28">
        <w:t>od</w:t>
      </w:r>
      <w:r>
        <w:t xml:space="preserve">ređuje se konačna nagrada za poslove stečajnog upravitelja stečajnog dužnika </w:t>
      </w:r>
      <w:r w:rsidR="005F69FE" w:rsidRPr="00045D71">
        <w:t xml:space="preserve">MODISSA d.o.o., Zagreb, Radićeva 16., </w:t>
      </w:r>
      <w:r w:rsidR="00B50E45" w:rsidRPr="007E046C">
        <w:t xml:space="preserve">u bruto iznosu od </w:t>
      </w:r>
      <w:r w:rsidR="00702CB5">
        <w:t>69.840,00</w:t>
      </w:r>
      <w:r w:rsidR="00B67713">
        <w:t xml:space="preserve"> kn</w:t>
      </w:r>
      <w:r w:rsidR="00A2774B" w:rsidRPr="007E046C">
        <w:rPr>
          <w:color w:val="000000"/>
        </w:rPr>
        <w:t>.</w:t>
      </w:r>
    </w:p>
    <w:p w:rsidRDefault="005866EA" w:rsidP="00A2774B" w:rsidR="005866EA">
      <w:pPr>
        <w:ind w:firstLine="720"/>
        <w:jc w:val="both"/>
      </w:pPr>
      <w:r>
        <w:t xml:space="preserve"> </w:t>
      </w:r>
    </w:p>
    <w:p w:rsidRDefault="004F56EB" w:rsidP="00A2774B" w:rsidR="004F56EB">
      <w:pPr>
        <w:ind w:firstLine="720"/>
        <w:jc w:val="both"/>
      </w:pPr>
    </w:p>
    <w:p w:rsidRDefault="005866EA" w:rsidP="005866EA" w:rsidR="005866EA">
      <w:pPr>
        <w:jc w:val="center"/>
      </w:pPr>
      <w:r>
        <w:t>Obrazloženje</w:t>
      </w:r>
    </w:p>
    <w:p w:rsidRDefault="005866EA" w:rsidP="005866EA" w:rsidR="005866EA">
      <w:pPr>
        <w:jc w:val="both"/>
      </w:pPr>
    </w:p>
    <w:p w:rsidRDefault="005866EA" w:rsidP="005866EA" w:rsidR="005866EA">
      <w:pPr>
        <w:ind w:firstLine="720"/>
        <w:jc w:val="both"/>
      </w:pPr>
      <w:r>
        <w:t xml:space="preserve">Podneskom od </w:t>
      </w:r>
      <w:r w:rsidR="00281FF9">
        <w:t xml:space="preserve"> </w:t>
      </w:r>
      <w:r w:rsidR="00B67713">
        <w:t>2</w:t>
      </w:r>
      <w:r w:rsidR="00702CB5">
        <w:t>1.lipnja</w:t>
      </w:r>
      <w:r>
        <w:t xml:space="preserve"> 201</w:t>
      </w:r>
      <w:r w:rsidR="0087654A">
        <w:t>8</w:t>
      </w:r>
      <w:r>
        <w:t>. stečajni upravitelj</w:t>
      </w:r>
      <w:r w:rsidR="00141E59" w:rsidRPr="00141E59">
        <w:t xml:space="preserve"> </w:t>
      </w:r>
      <w:r w:rsidR="00702CB5">
        <w:t xml:space="preserve">Milan Bariša Obradović </w:t>
      </w:r>
      <w:r>
        <w:t xml:space="preserve">obavijestio </w:t>
      </w:r>
      <w:r w:rsidR="00141E59">
        <w:t xml:space="preserve">sud </w:t>
      </w:r>
      <w:r>
        <w:t xml:space="preserve">kako je unovčio </w:t>
      </w:r>
      <w:r w:rsidR="00D22112">
        <w:t xml:space="preserve">cjelokupnu </w:t>
      </w:r>
      <w:r>
        <w:t xml:space="preserve">imovinu stečajnog dužnika u ukupnom iznosu od </w:t>
      </w:r>
      <w:r w:rsidR="00D22112">
        <w:t>623.000</w:t>
      </w:r>
      <w:r w:rsidR="00141E59">
        <w:t xml:space="preserve">,00 kn, te </w:t>
      </w:r>
      <w:r w:rsidR="00A65BDE">
        <w:t>predložio</w:t>
      </w:r>
      <w:r w:rsidR="00141E59">
        <w:t xml:space="preserve"> </w:t>
      </w:r>
      <w:r w:rsidR="006E4263">
        <w:t xml:space="preserve"> </w:t>
      </w:r>
      <w:r w:rsidR="00A65BDE">
        <w:t>određivanje nagrade</w:t>
      </w:r>
      <w:r>
        <w:t>.</w:t>
      </w:r>
    </w:p>
    <w:p w:rsidRDefault="005866EA" w:rsidP="005866EA" w:rsidR="005866EA">
      <w:pPr>
        <w:ind w:firstLine="720"/>
        <w:jc w:val="both"/>
      </w:pPr>
    </w:p>
    <w:p w:rsidRDefault="005866EA" w:rsidP="005866EA" w:rsidR="005866EA">
      <w:pPr>
        <w:ind w:firstLine="720"/>
        <w:jc w:val="both"/>
      </w:pPr>
      <w:r>
        <w:t xml:space="preserve">Prema članku </w:t>
      </w:r>
      <w:r w:rsidR="00E65FEF">
        <w:t>94. stavak 1. Stečajnog zakona (N.N. br.71/15 i 104/17)</w:t>
      </w:r>
      <w:r>
        <w:t xml:space="preserve"> stečajni upravitelj ima pravo na nagradu za svoj rad, te na naknadu stvarnih troškova. Nagradu </w:t>
      </w:r>
      <w:r w:rsidR="00CA7668">
        <w:t xml:space="preserve">rješenjem </w:t>
      </w:r>
      <w:r>
        <w:t xml:space="preserve">određuje </w:t>
      </w:r>
      <w:r w:rsidR="00CA7668">
        <w:t xml:space="preserve">sud </w:t>
      </w:r>
      <w:r>
        <w:t xml:space="preserve">prema </w:t>
      </w:r>
      <w:r w:rsidR="00CA7668">
        <w:t xml:space="preserve">uredbi kojom </w:t>
      </w:r>
      <w:r>
        <w:t xml:space="preserve">Vlada Republike Hrvatske utvrđuje kriterije i način obračuna i plaćanja nagrade stečajnom upravitelju (stavak 2. članka </w:t>
      </w:r>
      <w:r w:rsidR="00CA7668">
        <w:t>94</w:t>
      </w:r>
      <w:r>
        <w:t>. SZ-a).</w:t>
      </w:r>
    </w:p>
    <w:p w:rsidRDefault="005866EA" w:rsidP="005866EA" w:rsidR="005866EA">
      <w:pPr>
        <w:ind w:firstLine="720"/>
        <w:jc w:val="both"/>
      </w:pPr>
    </w:p>
    <w:p w:rsidRDefault="002E6D2C" w:rsidP="005866EA" w:rsidR="002E6D2C">
      <w:pPr>
        <w:ind w:firstLine="720"/>
        <w:jc w:val="both"/>
      </w:pPr>
      <w:r>
        <w:t>Člankom 2.</w:t>
      </w:r>
      <w:r w:rsidR="00F8000B">
        <w:t xml:space="preserve"> </w:t>
      </w:r>
      <w:r>
        <w:t>stavak 2. Uredbe o kriterijima i načinu obračuna i plaćanja nagrada stečajnim upraviteljima (N.N. br. 105/15., dalje: Uredba)</w:t>
      </w:r>
      <w:r w:rsidR="00F8000B">
        <w:t xml:space="preserve"> propisano je kako se nagrada određuje nakon što stečajni upravitelj dovrši poslove za koje je imenovan.</w:t>
      </w:r>
      <w:r w:rsidR="007C3DA7">
        <w:t xml:space="preserve"> </w:t>
      </w:r>
    </w:p>
    <w:p w:rsidRDefault="00F8000B" w:rsidP="005866EA" w:rsidR="00F8000B">
      <w:pPr>
        <w:ind w:firstLine="720"/>
        <w:jc w:val="both"/>
      </w:pPr>
    </w:p>
    <w:p w:rsidRDefault="005866EA" w:rsidP="005866EA" w:rsidR="005866EA">
      <w:pPr>
        <w:ind w:firstLine="720"/>
        <w:jc w:val="both"/>
      </w:pPr>
      <w:r>
        <w:t>Prema članku 7. Uredbe nagrada stečajnom upravitelju s osnove vrijednosti unovčene stečajne mase obračunava se primjenom tablica vrijednosti unovčene stečajne mase  i nagrade u postocima:</w:t>
      </w:r>
    </w:p>
    <w:p w:rsidRDefault="005866EA" w:rsidP="005866EA" w:rsidR="005866EA">
      <w:pPr>
        <w:ind w:firstLine="720"/>
        <w:jc w:val="both"/>
      </w:pPr>
      <w:r>
        <w:t xml:space="preserve">                                                  do     100.000,00 kn  -   16 %</w:t>
      </w:r>
    </w:p>
    <w:p w:rsidRDefault="005866EA" w:rsidP="005866EA" w:rsidR="005866EA">
      <w:pPr>
        <w:ind w:firstLine="720"/>
        <w:jc w:val="both"/>
      </w:pPr>
      <w:r>
        <w:t>na razliku    100.000,01             do     300.000,00 kn -    12%</w:t>
      </w:r>
    </w:p>
    <w:p w:rsidRDefault="005866EA" w:rsidP="005866EA" w:rsidR="005866EA">
      <w:pPr>
        <w:ind w:firstLine="720"/>
        <w:jc w:val="both"/>
      </w:pPr>
      <w:r>
        <w:t>na razliku    300.000,01             do     500.000,00 kn -    10%</w:t>
      </w:r>
    </w:p>
    <w:p w:rsidRDefault="005866EA" w:rsidP="005866EA" w:rsidR="005866EA">
      <w:pPr>
        <w:ind w:firstLine="720"/>
        <w:jc w:val="both"/>
      </w:pPr>
      <w:r>
        <w:t>na razliku    500.000,01             do   1.000.000,00 kn -    8%</w:t>
      </w:r>
    </w:p>
    <w:p w:rsidRDefault="005866EA" w:rsidP="005866EA" w:rsidR="005866EA">
      <w:pPr>
        <w:ind w:firstLine="720"/>
        <w:jc w:val="both"/>
      </w:pPr>
      <w:r>
        <w:t>na razliku  1.000.000,01            do    5.000.000,00 kn -    7%</w:t>
      </w:r>
    </w:p>
    <w:p w:rsidRDefault="005866EA" w:rsidP="005866EA" w:rsidR="005866EA">
      <w:pPr>
        <w:ind w:firstLine="720"/>
        <w:jc w:val="both"/>
      </w:pPr>
      <w:r>
        <w:lastRenderedPageBreak/>
        <w:t>na razliku  5.000.000,01            do    10.000.000,00 kn -  6%</w:t>
      </w:r>
    </w:p>
    <w:p w:rsidRDefault="005866EA" w:rsidP="005866EA" w:rsidR="005866EA">
      <w:pPr>
        <w:ind w:firstLine="720"/>
        <w:jc w:val="both"/>
      </w:pPr>
      <w:r>
        <w:t>na razliku 10.000.000,01           do   12.000.000,00 kn -  5%</w:t>
      </w:r>
    </w:p>
    <w:p w:rsidRDefault="005866EA" w:rsidP="005866EA" w:rsidR="005866EA">
      <w:pPr>
        <w:ind w:firstLine="720"/>
        <w:jc w:val="both"/>
      </w:pPr>
      <w:r>
        <w:t>na razliku iznad 12.000.000,01                               1%</w:t>
      </w:r>
    </w:p>
    <w:p w:rsidRDefault="005866EA" w:rsidP="005866EA" w:rsidR="005866EA">
      <w:pPr>
        <w:ind w:firstLine="720"/>
        <w:jc w:val="both"/>
      </w:pPr>
    </w:p>
    <w:p w:rsidRDefault="005866EA" w:rsidP="005866EA" w:rsidR="005866EA">
      <w:pPr>
        <w:ind w:firstLine="720"/>
        <w:jc w:val="both"/>
      </w:pPr>
      <w:r>
        <w:t>Naprijed navedenom odredbom propisan je sustav postotnih razreda prema ukupnoj vrijednosti unovčene stečajne mase sa regresivnim tendencijama kod većih iznosa, maximaliziran člankom 6. Uredbe (ne više od 630.000,00 kn)</w:t>
      </w:r>
    </w:p>
    <w:p w:rsidRDefault="005866EA" w:rsidP="005866EA" w:rsidR="005866EA">
      <w:pPr>
        <w:ind w:firstLine="720"/>
        <w:jc w:val="both"/>
      </w:pPr>
      <w:r>
        <w:t xml:space="preserve">Pri tome su postotni razredi određeni  riječima  </w:t>
      </w:r>
      <w:r w:rsidRPr="004E0D9B">
        <w:rPr>
          <w:u w:val="single"/>
        </w:rPr>
        <w:t>od</w:t>
      </w:r>
      <w:r>
        <w:t xml:space="preserve">  (iznosa)  </w:t>
      </w:r>
      <w:r w:rsidRPr="004E0D9B">
        <w:rPr>
          <w:u w:val="single"/>
        </w:rPr>
        <w:t>do</w:t>
      </w:r>
      <w:r>
        <w:t xml:space="preserve"> (iznosa), s tim da je prvi postotni razred određen riječju </w:t>
      </w:r>
      <w:r w:rsidRPr="00F5560C">
        <w:rPr>
          <w:u w:val="single"/>
        </w:rPr>
        <w:t>do</w:t>
      </w:r>
      <w:r>
        <w:t xml:space="preserve"> (vrijednosti unovčene stečajne mase), a zadnji postotni razred određen riječju </w:t>
      </w:r>
      <w:r w:rsidRPr="00F5560C">
        <w:rPr>
          <w:u w:val="single"/>
        </w:rPr>
        <w:t>na razliku iznad</w:t>
      </w:r>
      <w:r>
        <w:t xml:space="preserve"> (vrijednosti unovčene stečajne mase).</w:t>
      </w:r>
    </w:p>
    <w:p w:rsidRDefault="005866EA" w:rsidP="005866EA" w:rsidR="005866EA">
      <w:pPr>
        <w:ind w:firstLine="720"/>
        <w:jc w:val="both"/>
      </w:pPr>
    </w:p>
    <w:p w:rsidRDefault="005866EA" w:rsidP="005866EA" w:rsidR="005866EA">
      <w:pPr>
        <w:ind w:firstLine="720"/>
        <w:jc w:val="both"/>
      </w:pPr>
      <w:r>
        <w:t xml:space="preserve"> Kako je dakle stečajni upravitelj unovčio stečajnu masu za ukupan iznos </w:t>
      </w:r>
      <w:r w:rsidR="00A332B3">
        <w:t xml:space="preserve"> </w:t>
      </w:r>
      <w:r w:rsidR="00AD61A1">
        <w:t>623.000</w:t>
      </w:r>
      <w:r w:rsidR="00B26738">
        <w:t>,00</w:t>
      </w:r>
      <w:r w:rsidR="007B6E32">
        <w:t xml:space="preserve"> kn</w:t>
      </w:r>
      <w:r>
        <w:t>, to mu primjenom članka 7. Uredbe pripada nagrada i to:</w:t>
      </w:r>
    </w:p>
    <w:tbl>
      <w:tblPr>
        <w:tblW w:type="dxa" w:w="7300"/>
        <w:tblLook w:val="04A0" w:noVBand="1" w:noHBand="0" w:lastColumn="0" w:firstColumn="1" w:lastRow="0" w:firstRow="1"/>
      </w:tblPr>
      <w:tblGrid>
        <w:gridCol w:w="1780"/>
        <w:gridCol w:w="1780"/>
        <w:gridCol w:w="1820"/>
        <w:gridCol w:w="1920"/>
      </w:tblGrid>
      <w:tr w:rsidTr="002526BB" w:rsidR="002526BB" w:rsidRPr="00274D8C">
        <w:trPr>
          <w:trHeight w:val="300"/>
        </w:trPr>
        <w:tc>
          <w:tcPr>
            <w:tcW w:type="dxa" w:w="17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2526BB" w:rsidR="002526BB" w:rsidRPr="00274D8C">
            <w:pPr>
              <w:rPr>
                <w:color w:val="000000"/>
              </w:rPr>
            </w:pPr>
            <w:r w:rsidRPr="00274D8C">
              <w:rPr>
                <w:color w:val="000000"/>
              </w:rPr>
              <w:t>Od</w:t>
            </w:r>
          </w:p>
        </w:tc>
        <w:tc>
          <w:tcPr>
            <w:tcW w:type="dxa" w:w="17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2526BB" w:rsidR="002526BB" w:rsidRPr="00274D8C">
            <w:pPr>
              <w:rPr>
                <w:color w:val="000000"/>
              </w:rPr>
            </w:pPr>
            <w:r w:rsidRPr="00274D8C">
              <w:rPr>
                <w:color w:val="000000"/>
              </w:rPr>
              <w:t>Do</w:t>
            </w:r>
          </w:p>
        </w:tc>
        <w:tc>
          <w:tcPr>
            <w:tcW w:type="dxa" w:w="18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2526BB" w:rsidR="002526BB" w:rsidRPr="00274D8C">
            <w:pPr>
              <w:rPr>
                <w:color w:val="000000"/>
              </w:rPr>
            </w:pPr>
            <w:r w:rsidRPr="00274D8C">
              <w:rPr>
                <w:color w:val="000000"/>
              </w:rPr>
              <w:t>% naknade</w:t>
            </w:r>
          </w:p>
        </w:tc>
        <w:tc>
          <w:tcPr>
            <w:tcW w:type="dxa" w:w="19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2526BB" w:rsidR="002526BB" w:rsidRPr="00274D8C">
            <w:pPr>
              <w:rPr>
                <w:color w:val="000000"/>
              </w:rPr>
            </w:pPr>
            <w:r w:rsidRPr="00274D8C">
              <w:rPr>
                <w:color w:val="000000"/>
              </w:rPr>
              <w:t xml:space="preserve"> Iznos naknade </w:t>
            </w:r>
          </w:p>
        </w:tc>
      </w:tr>
      <w:tr w:rsidTr="002526BB" w:rsidR="002526BB" w:rsidRPr="00274D8C">
        <w:trPr>
          <w:trHeight w:val="300"/>
        </w:trPr>
        <w:tc>
          <w:tcPr>
            <w:tcW w:type="dxa" w:w="17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2526BB" w:rsidR="002526BB" w:rsidRPr="00274D8C">
            <w:pPr>
              <w:rPr>
                <w:color w:val="000000"/>
              </w:rPr>
            </w:pPr>
            <w:r w:rsidRPr="00274D8C">
              <w:rPr>
                <w:color w:val="000000"/>
              </w:rPr>
              <w:t xml:space="preserve">                              -      </w:t>
            </w:r>
          </w:p>
        </w:tc>
        <w:tc>
          <w:tcPr>
            <w:tcW w:type="dxa" w:w="17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2526BB" w:rsidR="002526BB" w:rsidRPr="00274D8C">
            <w:pPr>
              <w:rPr>
                <w:color w:val="000000"/>
              </w:rPr>
            </w:pPr>
            <w:r w:rsidRPr="00274D8C">
              <w:rPr>
                <w:color w:val="000000"/>
              </w:rPr>
              <w:t xml:space="preserve">            100.000,00    </w:t>
            </w:r>
          </w:p>
        </w:tc>
        <w:tc>
          <w:tcPr>
            <w:tcW w:type="dxa" w:w="18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2526BB" w:rsidR="002526BB" w:rsidRPr="00274D8C">
            <w:pPr>
              <w:jc w:val="right"/>
              <w:rPr>
                <w:color w:val="000000"/>
              </w:rPr>
            </w:pPr>
            <w:r w:rsidRPr="00274D8C">
              <w:rPr>
                <w:color w:val="000000"/>
              </w:rPr>
              <w:t>16%</w:t>
            </w:r>
          </w:p>
        </w:tc>
        <w:tc>
          <w:tcPr>
            <w:tcW w:type="dxa" w:w="19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2526BB" w:rsidR="002526BB" w:rsidRPr="00274D8C">
            <w:pPr>
              <w:rPr>
                <w:color w:val="000000"/>
              </w:rPr>
            </w:pPr>
            <w:r w:rsidRPr="00274D8C">
              <w:rPr>
                <w:color w:val="000000"/>
              </w:rPr>
              <w:t xml:space="preserve">16.000,00    </w:t>
            </w:r>
          </w:p>
        </w:tc>
      </w:tr>
      <w:tr w:rsidTr="002526BB" w:rsidR="002526BB" w:rsidRPr="00274D8C">
        <w:trPr>
          <w:trHeight w:val="300"/>
        </w:trPr>
        <w:tc>
          <w:tcPr>
            <w:tcW w:type="dxa" w:w="17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2526BB" w:rsidR="002526BB" w:rsidRPr="00274D8C">
            <w:pPr>
              <w:rPr>
                <w:color w:val="000000"/>
              </w:rPr>
            </w:pPr>
            <w:r w:rsidRPr="00274D8C">
              <w:rPr>
                <w:color w:val="000000"/>
              </w:rPr>
              <w:t xml:space="preserve">100.000,01    </w:t>
            </w:r>
          </w:p>
        </w:tc>
        <w:tc>
          <w:tcPr>
            <w:tcW w:type="dxa" w:w="17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2526BB" w:rsidR="002526BB" w:rsidRPr="00274D8C">
            <w:pPr>
              <w:rPr>
                <w:color w:val="000000"/>
              </w:rPr>
            </w:pPr>
            <w:r w:rsidRPr="00274D8C">
              <w:rPr>
                <w:color w:val="000000"/>
              </w:rPr>
              <w:t xml:space="preserve">300.000,00    </w:t>
            </w:r>
          </w:p>
        </w:tc>
        <w:tc>
          <w:tcPr>
            <w:tcW w:type="dxa" w:w="18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2526BB" w:rsidR="002526BB" w:rsidRPr="00274D8C">
            <w:pPr>
              <w:jc w:val="right"/>
              <w:rPr>
                <w:color w:val="000000"/>
              </w:rPr>
            </w:pPr>
            <w:r w:rsidRPr="00274D8C">
              <w:rPr>
                <w:color w:val="000000"/>
              </w:rPr>
              <w:t>12%</w:t>
            </w:r>
          </w:p>
        </w:tc>
        <w:tc>
          <w:tcPr>
            <w:tcW w:type="dxa" w:w="19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2526BB" w:rsidR="002526BB" w:rsidRPr="00274D8C">
            <w:pPr>
              <w:rPr>
                <w:color w:val="000000"/>
              </w:rPr>
            </w:pPr>
            <w:r w:rsidRPr="00274D8C">
              <w:rPr>
                <w:color w:val="000000"/>
              </w:rPr>
              <w:t xml:space="preserve">24.000,00    </w:t>
            </w:r>
          </w:p>
        </w:tc>
      </w:tr>
      <w:tr w:rsidTr="002526BB" w:rsidR="002526BB" w:rsidRPr="00274D8C">
        <w:trPr>
          <w:trHeight w:val="300"/>
        </w:trPr>
        <w:tc>
          <w:tcPr>
            <w:tcW w:type="dxa" w:w="17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2526BB" w:rsidR="002526BB" w:rsidRPr="00274D8C">
            <w:pPr>
              <w:rPr>
                <w:color w:val="000000"/>
              </w:rPr>
            </w:pPr>
            <w:r w:rsidRPr="00274D8C">
              <w:rPr>
                <w:color w:val="000000"/>
              </w:rPr>
              <w:t xml:space="preserve">300.000,01    </w:t>
            </w:r>
          </w:p>
        </w:tc>
        <w:tc>
          <w:tcPr>
            <w:tcW w:type="dxa" w:w="17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2526BB" w:rsidR="002526BB" w:rsidRPr="00274D8C">
            <w:pPr>
              <w:rPr>
                <w:color w:val="000000"/>
              </w:rPr>
            </w:pPr>
            <w:r w:rsidRPr="00274D8C">
              <w:rPr>
                <w:color w:val="000000"/>
              </w:rPr>
              <w:t xml:space="preserve">500.000,00    </w:t>
            </w:r>
          </w:p>
        </w:tc>
        <w:tc>
          <w:tcPr>
            <w:tcW w:type="dxa" w:w="18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2526BB" w:rsidR="002526BB" w:rsidRPr="00274D8C">
            <w:pPr>
              <w:jc w:val="right"/>
              <w:rPr>
                <w:color w:val="000000"/>
              </w:rPr>
            </w:pPr>
            <w:r w:rsidRPr="00274D8C">
              <w:rPr>
                <w:color w:val="000000"/>
              </w:rPr>
              <w:t>10%</w:t>
            </w:r>
          </w:p>
        </w:tc>
        <w:tc>
          <w:tcPr>
            <w:tcW w:type="dxa" w:w="19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2526BB" w:rsidR="002526BB" w:rsidRPr="00274D8C">
            <w:pPr>
              <w:rPr>
                <w:color w:val="000000"/>
              </w:rPr>
            </w:pPr>
            <w:r w:rsidRPr="00274D8C">
              <w:rPr>
                <w:color w:val="000000"/>
              </w:rPr>
              <w:t xml:space="preserve">20.000,00    </w:t>
            </w:r>
          </w:p>
        </w:tc>
      </w:tr>
      <w:tr w:rsidTr="002526BB" w:rsidR="002526BB" w:rsidRPr="00274D8C">
        <w:trPr>
          <w:trHeight w:val="300"/>
        </w:trPr>
        <w:tc>
          <w:tcPr>
            <w:tcW w:type="dxa" w:w="17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2526BB" w:rsidR="002526BB" w:rsidRPr="00274D8C">
            <w:pPr>
              <w:rPr>
                <w:color w:val="000000"/>
              </w:rPr>
            </w:pPr>
            <w:r w:rsidRPr="00274D8C">
              <w:rPr>
                <w:color w:val="000000"/>
              </w:rPr>
              <w:t xml:space="preserve">500.000,01    </w:t>
            </w:r>
          </w:p>
        </w:tc>
        <w:tc>
          <w:tcPr>
            <w:tcW w:type="dxa" w:w="17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2526BB" w:rsidR="002526BB" w:rsidRPr="00274D8C">
            <w:pPr>
              <w:rPr>
                <w:color w:val="000000"/>
              </w:rPr>
            </w:pPr>
            <w:r w:rsidRPr="00274D8C">
              <w:rPr>
                <w:color w:val="000000"/>
              </w:rPr>
              <w:t xml:space="preserve">1.000.000,00    </w:t>
            </w:r>
          </w:p>
        </w:tc>
        <w:tc>
          <w:tcPr>
            <w:tcW w:type="dxa" w:w="18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2526BB" w:rsidR="002526BB" w:rsidRPr="00274D8C">
            <w:pPr>
              <w:jc w:val="right"/>
              <w:rPr>
                <w:color w:val="000000"/>
              </w:rPr>
            </w:pPr>
            <w:r w:rsidRPr="00274D8C">
              <w:rPr>
                <w:color w:val="000000"/>
              </w:rPr>
              <w:t>8%</w:t>
            </w:r>
          </w:p>
        </w:tc>
        <w:tc>
          <w:tcPr>
            <w:tcW w:type="dxa" w:w="19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2526BB" w:rsidR="002526BB" w:rsidRPr="00274D8C">
            <w:pPr>
              <w:rPr>
                <w:color w:val="000000"/>
              </w:rPr>
            </w:pPr>
            <w:r w:rsidRPr="00274D8C">
              <w:rPr>
                <w:color w:val="000000"/>
              </w:rPr>
              <w:t xml:space="preserve">9.840,00    </w:t>
            </w:r>
          </w:p>
        </w:tc>
      </w:tr>
      <w:tr w:rsidTr="002526BB" w:rsidR="002526BB" w:rsidRPr="00274D8C">
        <w:trPr>
          <w:trHeight w:val="300"/>
        </w:trPr>
        <w:tc>
          <w:tcPr>
            <w:tcW w:type="dxa" w:w="538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2526BB" w:rsidR="002526BB" w:rsidRPr="00274D8C">
            <w:pPr>
              <w:jc w:val="center"/>
              <w:rPr>
                <w:color w:val="000000"/>
              </w:rPr>
            </w:pPr>
            <w:r w:rsidRPr="00274D8C">
              <w:rPr>
                <w:color w:val="000000"/>
              </w:rPr>
              <w:t>Ukupna nagrada stečajnom upravitelju</w:t>
            </w:r>
          </w:p>
        </w:tc>
        <w:tc>
          <w:tcPr>
            <w:tcW w:type="dxa" w:w="19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2526BB" w:rsidR="002526BB" w:rsidRPr="00274D8C">
            <w:pPr>
              <w:rPr>
                <w:color w:val="000000"/>
              </w:rPr>
            </w:pPr>
            <w:r w:rsidRPr="00274D8C">
              <w:rPr>
                <w:color w:val="000000"/>
              </w:rPr>
              <w:t xml:space="preserve">                  69.840,00    </w:t>
            </w:r>
          </w:p>
        </w:tc>
      </w:tr>
    </w:tbl>
    <w:p w:rsidRDefault="0094473C" w:rsidP="005D32CB" w:rsidR="0094473C">
      <w:pPr>
        <w:jc w:val="both"/>
      </w:pPr>
    </w:p>
    <w:p w:rsidRDefault="005866EA" w:rsidP="005D32CB" w:rsidR="005866EA">
      <w:pPr>
        <w:jc w:val="both"/>
      </w:pPr>
      <w:r>
        <w:tab/>
        <w:t>Prema odredbi članka 15. Uredbe svi iznosi koji se primjenjuju Uredbom su bruto iznosi</w:t>
      </w:r>
      <w:r w:rsidR="005D32CB">
        <w:t>.</w:t>
      </w:r>
    </w:p>
    <w:p w:rsidRDefault="005866EA" w:rsidP="005866EA" w:rsidR="005866EA">
      <w:pPr>
        <w:jc w:val="center"/>
      </w:pPr>
    </w:p>
    <w:p w:rsidRDefault="005866EA" w:rsidP="005866EA" w:rsidR="005866EA">
      <w:pPr>
        <w:jc w:val="center"/>
      </w:pPr>
      <w:r>
        <w:t xml:space="preserve">Zagreb, </w:t>
      </w:r>
      <w:r w:rsidR="00AD61A1">
        <w:t>2</w:t>
      </w:r>
      <w:r w:rsidR="001B1116">
        <w:t>6</w:t>
      </w:r>
      <w:r w:rsidR="00AD61A1">
        <w:t>.srpnja</w:t>
      </w:r>
      <w:r>
        <w:t xml:space="preserve"> 201</w:t>
      </w:r>
      <w:r w:rsidR="00F41BCF">
        <w:t>8</w:t>
      </w:r>
      <w:r>
        <w:t xml:space="preserve">. </w:t>
      </w:r>
    </w:p>
    <w:p w:rsidRDefault="005866EA" w:rsidP="005866EA" w:rsidR="005866EA">
      <w:pPr>
        <w:ind w:left="4320"/>
        <w:jc w:val="right"/>
      </w:pPr>
      <w:r>
        <w:t xml:space="preserve">                                       Sudac:</w:t>
      </w:r>
    </w:p>
    <w:p w:rsidRDefault="005866EA" w:rsidP="005866EA" w:rsidR="005866EA">
      <w:pPr>
        <w:jc w:val="right"/>
      </w:pPr>
      <w:r>
        <w:t xml:space="preserve">Ante Galić </w:t>
      </w:r>
      <w:r w:rsidR="00132A74">
        <w:t>v.r.</w:t>
      </w:r>
    </w:p>
    <w:p w:rsidRDefault="005866EA" w:rsidP="005866EA" w:rsidR="005866EA">
      <w:pPr>
        <w:jc w:val="both"/>
      </w:pPr>
    </w:p>
    <w:p w:rsidRDefault="005866EA" w:rsidP="005866EA" w:rsidR="005866EA">
      <w:pPr>
        <w:jc w:val="both"/>
      </w:pPr>
      <w:r>
        <w:t>Uputa o pravnom lijeku:</w:t>
      </w:r>
    </w:p>
    <w:p w:rsidRDefault="005866EA" w:rsidP="005866EA" w:rsidR="005866EA">
      <w:pPr>
        <w:jc w:val="both"/>
      </w:pPr>
      <w:r>
        <w:t>Protiv ovog rješenja može se  uložiti žalba Visokom trgovačkom sudu Republike Hrvatske u roku od 8 dana od primitka rješenja, a ulaže se putem ovog suda u 2 primjerka za sud.</w:t>
      </w:r>
    </w:p>
    <w:p w:rsidRDefault="005866EA" w:rsidP="005866EA" w:rsidR="005866EA">
      <w:pPr>
        <w:ind w:firstLine="720"/>
        <w:jc w:val="both"/>
      </w:pPr>
    </w:p>
    <w:p w:rsidRDefault="00132A74" w:rsidP="00132A74" w:rsidR="00132A74">
      <w:pPr>
        <w:ind w:firstLine="708" w:left="4248"/>
        <w:jc w:val="both"/>
      </w:pPr>
      <w:r>
        <w:t>Za točnost otpravka, ovlašteni službenik:</w:t>
      </w:r>
    </w:p>
    <w:p w:rsidRDefault="00132A74" w:rsidP="00422EE0" w:rsidR="00132A74">
      <w:pPr>
        <w:jc w:val="both"/>
      </w:pPr>
      <w:r>
        <w:t xml:space="preserve">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Valentina Delač</w:t>
      </w:r>
    </w:p>
    <w:p w:rsidRDefault="003E2896" w:rsidP="005866EA" w:rsidR="003E2896" w:rsidRPr="00F869EF"/>
    <w:sectPr w:rsidSect="001D2443" w:rsidR="003E2896" w:rsidRPr="00F869EF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60F0B" w:rsidR="00E60F0B">
      <w:r>
        <w:separator/>
      </w:r>
    </w:p>
  </w:endnote>
  <w:endnote w:id="0" w:type="continuationSeparator">
    <w:p w:rsidRDefault="00E60F0B" w:rsidR="00E60F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60F0B" w:rsidR="00E60F0B">
      <w:r>
        <w:separator/>
      </w:r>
    </w:p>
  </w:footnote>
  <w:footnote w:id="0" w:type="continuationSeparator">
    <w:p w:rsidRDefault="00E60F0B" w:rsidR="00E60F0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261C" w:rsidP="00E00585" w:rsidR="00C2261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2261C" w:rsidR="00C2261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261C" w:rsidP="00E00585" w:rsidR="00C2261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32A74">
      <w:rPr>
        <w:rStyle w:val="Brojstranice"/>
        <w:noProof/>
      </w:rPr>
      <w:t>2</w:t>
    </w:r>
    <w:r>
      <w:rPr>
        <w:rStyle w:val="Brojstranice"/>
      </w:rPr>
      <w:fldChar w:fldCharType="end"/>
    </w:r>
    <w:r w:rsidR="005567D4">
      <w:rPr>
        <w:rStyle w:val="Brojstranice"/>
      </w:rPr>
      <w:t>.</w:t>
    </w:r>
  </w:p>
  <w:p w:rsidRDefault="005567D4" w:rsidP="00AD61A1" w:rsidR="005866EA">
    <w:pPr>
      <w:pStyle w:val="Zaglavlje"/>
      <w:jc w:val="center"/>
    </w:pPr>
    <w:r>
      <w:tab/>
    </w:r>
    <w:r>
      <w:tab/>
    </w:r>
    <w:r w:rsidR="005866EA">
      <w:t>40. St-</w:t>
    </w:r>
    <w:r w:rsidR="00AD61A1">
      <w:t>326</w:t>
    </w:r>
    <w:r w:rsidR="004F56EB">
      <w:t>/1</w:t>
    </w:r>
    <w:r w:rsidR="00AD61A1">
      <w:t>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5568EF"/>
    <w:multiLevelType w:val="hybridMultilevel"/>
    <w:tmpl w:val="5E9E680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EF27457"/>
    <w:multiLevelType w:val="hybridMultilevel"/>
    <w:tmpl w:val="475E52E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E99395E"/>
    <w:multiLevelType w:val="hybridMultilevel"/>
    <w:tmpl w:val="07B859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DFD57D5"/>
    <w:multiLevelType w:val="hybridMultilevel"/>
    <w:tmpl w:val="D19A95A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7652"/>
    <w:rsid w:val="000075E1"/>
    <w:rsid w:val="00007717"/>
    <w:rsid w:val="00024785"/>
    <w:rsid w:val="00036597"/>
    <w:rsid w:val="00052561"/>
    <w:rsid w:val="0007519C"/>
    <w:rsid w:val="0007620B"/>
    <w:rsid w:val="00086650"/>
    <w:rsid w:val="00087C90"/>
    <w:rsid w:val="00096B4E"/>
    <w:rsid w:val="000A759B"/>
    <w:rsid w:val="000D6E67"/>
    <w:rsid w:val="000E6D9D"/>
    <w:rsid w:val="000F6BA9"/>
    <w:rsid w:val="001010D3"/>
    <w:rsid w:val="001154E0"/>
    <w:rsid w:val="00121C3F"/>
    <w:rsid w:val="00126AA5"/>
    <w:rsid w:val="001311B6"/>
    <w:rsid w:val="00132A74"/>
    <w:rsid w:val="001360D7"/>
    <w:rsid w:val="00140F54"/>
    <w:rsid w:val="00141E59"/>
    <w:rsid w:val="001459C7"/>
    <w:rsid w:val="001577E4"/>
    <w:rsid w:val="0017575A"/>
    <w:rsid w:val="00180A63"/>
    <w:rsid w:val="001A616B"/>
    <w:rsid w:val="001B1116"/>
    <w:rsid w:val="001B20B3"/>
    <w:rsid w:val="001B70F1"/>
    <w:rsid w:val="001C3161"/>
    <w:rsid w:val="001C7A07"/>
    <w:rsid w:val="001D2443"/>
    <w:rsid w:val="001F1881"/>
    <w:rsid w:val="00202649"/>
    <w:rsid w:val="00205368"/>
    <w:rsid w:val="002131BA"/>
    <w:rsid w:val="002251CD"/>
    <w:rsid w:val="00230B0D"/>
    <w:rsid w:val="0023327B"/>
    <w:rsid w:val="0024046F"/>
    <w:rsid w:val="00243B55"/>
    <w:rsid w:val="002452F2"/>
    <w:rsid w:val="00245E5F"/>
    <w:rsid w:val="002526BB"/>
    <w:rsid w:val="00253495"/>
    <w:rsid w:val="00264341"/>
    <w:rsid w:val="0027207A"/>
    <w:rsid w:val="00274D8C"/>
    <w:rsid w:val="00281FF9"/>
    <w:rsid w:val="00282033"/>
    <w:rsid w:val="00285FE0"/>
    <w:rsid w:val="0029135F"/>
    <w:rsid w:val="002A271C"/>
    <w:rsid w:val="002B1E43"/>
    <w:rsid w:val="002C4476"/>
    <w:rsid w:val="002D5187"/>
    <w:rsid w:val="002D6A2F"/>
    <w:rsid w:val="002E0389"/>
    <w:rsid w:val="002E6D2C"/>
    <w:rsid w:val="00300EBC"/>
    <w:rsid w:val="00317F97"/>
    <w:rsid w:val="003255D4"/>
    <w:rsid w:val="00325C88"/>
    <w:rsid w:val="0034310D"/>
    <w:rsid w:val="00347AD1"/>
    <w:rsid w:val="00354188"/>
    <w:rsid w:val="00354F39"/>
    <w:rsid w:val="00391C76"/>
    <w:rsid w:val="00392BDA"/>
    <w:rsid w:val="003A4A42"/>
    <w:rsid w:val="003B3AE5"/>
    <w:rsid w:val="003B6DD3"/>
    <w:rsid w:val="003D41F5"/>
    <w:rsid w:val="003E0EB9"/>
    <w:rsid w:val="003E2896"/>
    <w:rsid w:val="003E60CD"/>
    <w:rsid w:val="003E7652"/>
    <w:rsid w:val="00410C13"/>
    <w:rsid w:val="00412B30"/>
    <w:rsid w:val="00434BFF"/>
    <w:rsid w:val="00463D6D"/>
    <w:rsid w:val="004721ED"/>
    <w:rsid w:val="00473DD7"/>
    <w:rsid w:val="004763B1"/>
    <w:rsid w:val="00491AB1"/>
    <w:rsid w:val="0049271A"/>
    <w:rsid w:val="004A0F64"/>
    <w:rsid w:val="004F56EB"/>
    <w:rsid w:val="004F79CB"/>
    <w:rsid w:val="00502903"/>
    <w:rsid w:val="00505654"/>
    <w:rsid w:val="0051464C"/>
    <w:rsid w:val="00520D93"/>
    <w:rsid w:val="00524570"/>
    <w:rsid w:val="00525876"/>
    <w:rsid w:val="005408FF"/>
    <w:rsid w:val="005567D4"/>
    <w:rsid w:val="005608D4"/>
    <w:rsid w:val="00575FBB"/>
    <w:rsid w:val="00586359"/>
    <w:rsid w:val="005866EA"/>
    <w:rsid w:val="005868C5"/>
    <w:rsid w:val="00596B42"/>
    <w:rsid w:val="005C4492"/>
    <w:rsid w:val="005C4D4D"/>
    <w:rsid w:val="005D32CB"/>
    <w:rsid w:val="005E4C75"/>
    <w:rsid w:val="005E5A41"/>
    <w:rsid w:val="005F3816"/>
    <w:rsid w:val="005F3E59"/>
    <w:rsid w:val="005F5711"/>
    <w:rsid w:val="005F69FE"/>
    <w:rsid w:val="005F73E8"/>
    <w:rsid w:val="006754A5"/>
    <w:rsid w:val="00676689"/>
    <w:rsid w:val="006776F8"/>
    <w:rsid w:val="0069472B"/>
    <w:rsid w:val="006C0093"/>
    <w:rsid w:val="006C116B"/>
    <w:rsid w:val="006E2618"/>
    <w:rsid w:val="006E4263"/>
    <w:rsid w:val="006E6DF0"/>
    <w:rsid w:val="00702CB5"/>
    <w:rsid w:val="0070616F"/>
    <w:rsid w:val="0072602F"/>
    <w:rsid w:val="007343D3"/>
    <w:rsid w:val="007374C7"/>
    <w:rsid w:val="00755E35"/>
    <w:rsid w:val="0076394A"/>
    <w:rsid w:val="00787E90"/>
    <w:rsid w:val="00791B32"/>
    <w:rsid w:val="007976A6"/>
    <w:rsid w:val="007A274C"/>
    <w:rsid w:val="007A4556"/>
    <w:rsid w:val="007B6E32"/>
    <w:rsid w:val="007C3DA7"/>
    <w:rsid w:val="007C53CD"/>
    <w:rsid w:val="007C6B24"/>
    <w:rsid w:val="007D289E"/>
    <w:rsid w:val="007D5746"/>
    <w:rsid w:val="007E046C"/>
    <w:rsid w:val="0080397D"/>
    <w:rsid w:val="008144A5"/>
    <w:rsid w:val="008177C6"/>
    <w:rsid w:val="00822617"/>
    <w:rsid w:val="00844F17"/>
    <w:rsid w:val="0087654A"/>
    <w:rsid w:val="00880396"/>
    <w:rsid w:val="00881D1D"/>
    <w:rsid w:val="00883FF5"/>
    <w:rsid w:val="008917E8"/>
    <w:rsid w:val="00897B1D"/>
    <w:rsid w:val="008A136C"/>
    <w:rsid w:val="008D0E09"/>
    <w:rsid w:val="008F05A9"/>
    <w:rsid w:val="00901B73"/>
    <w:rsid w:val="009222E9"/>
    <w:rsid w:val="0092396E"/>
    <w:rsid w:val="00926B2C"/>
    <w:rsid w:val="00932F36"/>
    <w:rsid w:val="00943683"/>
    <w:rsid w:val="009439CA"/>
    <w:rsid w:val="0094473C"/>
    <w:rsid w:val="009701B8"/>
    <w:rsid w:val="00973D51"/>
    <w:rsid w:val="00983DA6"/>
    <w:rsid w:val="009C1C3B"/>
    <w:rsid w:val="009C6D30"/>
    <w:rsid w:val="00A21501"/>
    <w:rsid w:val="00A2774B"/>
    <w:rsid w:val="00A31301"/>
    <w:rsid w:val="00A332B3"/>
    <w:rsid w:val="00A652A7"/>
    <w:rsid w:val="00A65BDE"/>
    <w:rsid w:val="00A80CCD"/>
    <w:rsid w:val="00A87E4D"/>
    <w:rsid w:val="00A9007C"/>
    <w:rsid w:val="00AA1CFB"/>
    <w:rsid w:val="00AB67D5"/>
    <w:rsid w:val="00AB71DB"/>
    <w:rsid w:val="00AC2EFA"/>
    <w:rsid w:val="00AD61A1"/>
    <w:rsid w:val="00AE4D35"/>
    <w:rsid w:val="00AE7330"/>
    <w:rsid w:val="00AF3E27"/>
    <w:rsid w:val="00AF57F1"/>
    <w:rsid w:val="00B009F8"/>
    <w:rsid w:val="00B00A10"/>
    <w:rsid w:val="00B04FE7"/>
    <w:rsid w:val="00B07A8F"/>
    <w:rsid w:val="00B26738"/>
    <w:rsid w:val="00B465E2"/>
    <w:rsid w:val="00B50E45"/>
    <w:rsid w:val="00B5356F"/>
    <w:rsid w:val="00B57FBD"/>
    <w:rsid w:val="00B67713"/>
    <w:rsid w:val="00B902ED"/>
    <w:rsid w:val="00BA5D7A"/>
    <w:rsid w:val="00BB306E"/>
    <w:rsid w:val="00C058C9"/>
    <w:rsid w:val="00C12DF9"/>
    <w:rsid w:val="00C22123"/>
    <w:rsid w:val="00C2261C"/>
    <w:rsid w:val="00C35162"/>
    <w:rsid w:val="00C4533D"/>
    <w:rsid w:val="00C50F38"/>
    <w:rsid w:val="00C84A8C"/>
    <w:rsid w:val="00C93351"/>
    <w:rsid w:val="00CA29DB"/>
    <w:rsid w:val="00CA7668"/>
    <w:rsid w:val="00CB2F05"/>
    <w:rsid w:val="00CB7414"/>
    <w:rsid w:val="00CD3D2C"/>
    <w:rsid w:val="00CD3FFC"/>
    <w:rsid w:val="00CD4A64"/>
    <w:rsid w:val="00CD7F3C"/>
    <w:rsid w:val="00CF0712"/>
    <w:rsid w:val="00CF2698"/>
    <w:rsid w:val="00CF3A7E"/>
    <w:rsid w:val="00D00CB1"/>
    <w:rsid w:val="00D22112"/>
    <w:rsid w:val="00D23FD4"/>
    <w:rsid w:val="00D24601"/>
    <w:rsid w:val="00D2602B"/>
    <w:rsid w:val="00D32F94"/>
    <w:rsid w:val="00D4326A"/>
    <w:rsid w:val="00D46697"/>
    <w:rsid w:val="00D55987"/>
    <w:rsid w:val="00D57AC9"/>
    <w:rsid w:val="00D77EFA"/>
    <w:rsid w:val="00D860E8"/>
    <w:rsid w:val="00DB2501"/>
    <w:rsid w:val="00DB2873"/>
    <w:rsid w:val="00DD0258"/>
    <w:rsid w:val="00DD5D5D"/>
    <w:rsid w:val="00DD7BB0"/>
    <w:rsid w:val="00DF0304"/>
    <w:rsid w:val="00E00585"/>
    <w:rsid w:val="00E0275C"/>
    <w:rsid w:val="00E04F68"/>
    <w:rsid w:val="00E105CD"/>
    <w:rsid w:val="00E2104F"/>
    <w:rsid w:val="00E25F85"/>
    <w:rsid w:val="00E60F0B"/>
    <w:rsid w:val="00E63731"/>
    <w:rsid w:val="00E65FEF"/>
    <w:rsid w:val="00E71B72"/>
    <w:rsid w:val="00E749A5"/>
    <w:rsid w:val="00E86A79"/>
    <w:rsid w:val="00EA1A2B"/>
    <w:rsid w:val="00EA657D"/>
    <w:rsid w:val="00EB0A95"/>
    <w:rsid w:val="00EB552C"/>
    <w:rsid w:val="00EB7EF3"/>
    <w:rsid w:val="00ED3A5D"/>
    <w:rsid w:val="00ED6B92"/>
    <w:rsid w:val="00EE3BE3"/>
    <w:rsid w:val="00EE5B40"/>
    <w:rsid w:val="00EE5FF4"/>
    <w:rsid w:val="00F10C44"/>
    <w:rsid w:val="00F340FF"/>
    <w:rsid w:val="00F41BCF"/>
    <w:rsid w:val="00F47207"/>
    <w:rsid w:val="00F53960"/>
    <w:rsid w:val="00F8000B"/>
    <w:rsid w:val="00F83532"/>
    <w:rsid w:val="00F90024"/>
    <w:rsid w:val="00F923D3"/>
    <w:rsid w:val="00F92410"/>
    <w:rsid w:val="00FA0073"/>
    <w:rsid w:val="00FA298D"/>
    <w:rsid w:val="00FB23D8"/>
    <w:rsid w:val="00FC0CD3"/>
    <w:rsid w:val="00FC210F"/>
    <w:rsid w:val="00FC3C45"/>
    <w:rsid w:val="00FD4CB1"/>
    <w:rsid w:val="00FE19D9"/>
    <w:rsid w:val="00FE7440"/>
    <w:rsid w:val="00FF194F"/>
    <w:rsid w:val="00FF7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7D289E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styleId="Naslov8" w:type="paragraph">
    <w:name w:val="heading 8"/>
    <w:basedOn w:val="Normal"/>
    <w:next w:val="Normal"/>
    <w:link w:val="Naslov8Char"/>
    <w:semiHidden/>
    <w:unhideWhenUsed/>
    <w:qFormat/>
    <w:rsid w:val="00354188"/>
    <w:pPr>
      <w:keepNext/>
      <w:keepLines/>
      <w:spacing w:before="200"/>
      <w:outlineLvl w:val="7"/>
    </w:pPr>
    <w:rPr>
      <w:rFonts w:cstheme="majorBidi" w:eastAsiaTheme="majorEastAsia" w:hAnsiTheme="majorHAnsi" w:asciiTheme="majorHAnsi"/>
      <w:color w:themeTint="BF" w:themeColor="text1" w:val="404040"/>
      <w:sz w:val="20"/>
      <w:szCs w:val="20"/>
    </w:rPr>
  </w:style>
  <w:style w:styleId="Naslov9" w:type="paragraph">
    <w:name w:val="heading 9"/>
    <w:basedOn w:val="Normal"/>
    <w:next w:val="Normal"/>
    <w:link w:val="Naslov9Char"/>
    <w:semiHidden/>
    <w:unhideWhenUsed/>
    <w:qFormat/>
    <w:rsid w:val="00354188"/>
    <w:pPr>
      <w:keepNext/>
      <w:keepLines/>
      <w:spacing w:before="200"/>
      <w:outlineLvl w:val="8"/>
    </w:pPr>
    <w:rPr>
      <w:rFonts w:cstheme="majorBidi" w:eastAsiaTheme="majorEastAsia" w:hAnsiTheme="majorHAnsi" w:asciiTheme="majorHAnsi"/>
      <w:i/>
      <w:iCs/>
      <w:color w:themeTint="BF" w:themeColor="text1" w:val="404040"/>
      <w:sz w:val="20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link w:val="PodnojeChar"/>
    <w:rsid w:val="001D2443"/>
    <w:pPr>
      <w:tabs>
        <w:tab w:pos="4536" w:val="center"/>
        <w:tab w:pos="9072" w:val="right"/>
      </w:tabs>
    </w:pPr>
  </w:style>
  <w:style w:customStyle="true" w:styleId="StilEpote19" w:type="character">
    <w:name w:val="StilEpošte19"/>
    <w:semiHidden/>
    <w:rsid w:val="00524570"/>
    <w:rPr>
      <w:rFonts w:cs="Arial" w:hAnsi="Arial" w:ascii="Arial"/>
      <w:color w:val="auto"/>
      <w:sz w:val="20"/>
      <w:szCs w:val="20"/>
    </w:rPr>
  </w:style>
  <w:style w:customStyle="true" w:styleId="Naslov2Char" w:type="character">
    <w:name w:val="Naslov 2 Char"/>
    <w:basedOn w:val="Zadanifontodlomka"/>
    <w:link w:val="Naslov2"/>
    <w:rsid w:val="007D289E"/>
    <w:rPr>
      <w:b/>
      <w:bCs/>
      <w:sz w:val="28"/>
      <w:szCs w:val="24"/>
    </w:rPr>
  </w:style>
  <w:style w:customStyle="true" w:styleId="Naslov8Char" w:type="character">
    <w:name w:val="Naslov 8 Char"/>
    <w:basedOn w:val="Zadanifontodlomka"/>
    <w:link w:val="Naslov8"/>
    <w:semiHidden/>
    <w:rsid w:val="00354188"/>
    <w:rPr>
      <w:rFonts w:cstheme="majorBidi" w:eastAsiaTheme="majorEastAsia" w:hAnsiTheme="majorHAnsi" w:asciiTheme="majorHAnsi"/>
      <w:color w:themeTint="BF" w:themeColor="text1" w:val="404040"/>
    </w:rPr>
  </w:style>
  <w:style w:customStyle="true" w:styleId="Naslov9Char" w:type="character">
    <w:name w:val="Naslov 9 Char"/>
    <w:basedOn w:val="Zadanifontodlomka"/>
    <w:link w:val="Naslov9"/>
    <w:semiHidden/>
    <w:rsid w:val="00354188"/>
    <w:rPr>
      <w:rFonts w:cstheme="majorBidi" w:eastAsiaTheme="majorEastAsia" w:hAnsiTheme="majorHAnsi" w:asciiTheme="majorHAnsi"/>
      <w:i/>
      <w:iCs/>
      <w:color w:themeTint="BF" w:themeColor="text1" w:val="404040"/>
    </w:rPr>
  </w:style>
  <w:style w:customStyle="true" w:styleId="PodnojeChar" w:type="character">
    <w:name w:val="Podnožje Char"/>
    <w:basedOn w:val="Zadanifontodlomka"/>
    <w:link w:val="Podnoje"/>
    <w:rsid w:val="00354188"/>
    <w:rPr>
      <w:sz w:val="24"/>
      <w:szCs w:val="24"/>
    </w:rPr>
  </w:style>
  <w:style w:styleId="Tijeloteksta" w:type="paragraph">
    <w:name w:val="Body Text"/>
    <w:basedOn w:val="Normal"/>
    <w:link w:val="TijelotekstaChar"/>
    <w:unhideWhenUsed/>
    <w:rsid w:val="00354188"/>
    <w:pPr>
      <w:overflowPunct w:val="false"/>
      <w:autoSpaceDE w:val="false"/>
      <w:autoSpaceDN w:val="false"/>
      <w:adjustRightInd w:val="false"/>
      <w:jc w:val="both"/>
    </w:pPr>
    <w:rPr>
      <w:spacing w:val="-10"/>
      <w:szCs w:val="20"/>
    </w:rPr>
  </w:style>
  <w:style w:customStyle="true" w:styleId="TijelotekstaChar" w:type="character">
    <w:name w:val="Tijelo teksta Char"/>
    <w:basedOn w:val="Zadanifontodlomka"/>
    <w:link w:val="Tijeloteksta"/>
    <w:rsid w:val="00354188"/>
    <w:rPr>
      <w:spacing w:val="-10"/>
      <w:sz w:val="24"/>
    </w:rPr>
  </w:style>
  <w:style w:styleId="Tijeloteksta3" w:type="paragraph">
    <w:name w:val="Body Text 3"/>
    <w:basedOn w:val="Normal"/>
    <w:link w:val="Tijeloteksta3Char"/>
    <w:unhideWhenUsed/>
    <w:rsid w:val="00502903"/>
    <w:p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rsid w:val="00502903"/>
    <w:rPr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32A7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32A7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32A7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32A7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32A7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7D289E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styleId="Naslov8" w:type="paragraph">
    <w:name w:val="heading 8"/>
    <w:basedOn w:val="Normal"/>
    <w:next w:val="Normal"/>
    <w:link w:val="Naslov8Char"/>
    <w:semiHidden/>
    <w:unhideWhenUsed/>
    <w:qFormat/>
    <w:rsid w:val="00354188"/>
    <w:pPr>
      <w:keepNext/>
      <w:keepLines/>
      <w:spacing w:before="200"/>
      <w:outlineLvl w:val="7"/>
    </w:pPr>
    <w:rPr>
      <w:rFonts w:asciiTheme="majorHAnsi" w:cstheme="majorBidi" w:eastAsiaTheme="majorEastAsia" w:hAnsiTheme="majorHAnsi"/>
      <w:color w:themeColor="text1" w:themeTint="BF" w:val="404040"/>
      <w:sz w:val="20"/>
      <w:szCs w:val="20"/>
    </w:rPr>
  </w:style>
  <w:style w:styleId="Naslov9" w:type="paragraph">
    <w:name w:val="heading 9"/>
    <w:basedOn w:val="Normal"/>
    <w:next w:val="Normal"/>
    <w:link w:val="Naslov9Char"/>
    <w:semiHidden/>
    <w:unhideWhenUsed/>
    <w:qFormat/>
    <w:rsid w:val="00354188"/>
    <w:pPr>
      <w:keepNext/>
      <w:keepLines/>
      <w:spacing w:before="200"/>
      <w:outlineLvl w:val="8"/>
    </w:pPr>
    <w:rPr>
      <w:rFonts w:asciiTheme="majorHAnsi" w:cstheme="majorBidi" w:eastAsiaTheme="majorEastAsia" w:hAnsiTheme="majorHAnsi"/>
      <w:i/>
      <w:iCs/>
      <w:color w:themeColor="text1" w:themeTint="BF" w:val="404040"/>
      <w:sz w:val="20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link w:val="PodnojeChar"/>
    <w:rsid w:val="001D2443"/>
    <w:pPr>
      <w:tabs>
        <w:tab w:pos="4536" w:val="center"/>
        <w:tab w:pos="9072" w:val="right"/>
      </w:tabs>
    </w:pPr>
  </w:style>
  <w:style w:customStyle="1" w:styleId="StilEpote19" w:type="character">
    <w:name w:val="StilEpošte19"/>
    <w:semiHidden/>
    <w:rsid w:val="00524570"/>
    <w:rPr>
      <w:rFonts w:ascii="Arial" w:cs="Arial" w:hAnsi="Arial"/>
      <w:color w:val="auto"/>
      <w:sz w:val="20"/>
      <w:szCs w:val="20"/>
    </w:rPr>
  </w:style>
  <w:style w:customStyle="1" w:styleId="Naslov2Char" w:type="character">
    <w:name w:val="Naslov 2 Char"/>
    <w:basedOn w:val="Zadanifontodlomka"/>
    <w:link w:val="Naslov2"/>
    <w:rsid w:val="007D289E"/>
    <w:rPr>
      <w:b/>
      <w:bCs/>
      <w:sz w:val="28"/>
      <w:szCs w:val="24"/>
    </w:rPr>
  </w:style>
  <w:style w:customStyle="1" w:styleId="Naslov8Char" w:type="character">
    <w:name w:val="Naslov 8 Char"/>
    <w:basedOn w:val="Zadanifontodlomka"/>
    <w:link w:val="Naslov8"/>
    <w:semiHidden/>
    <w:rsid w:val="00354188"/>
    <w:rPr>
      <w:rFonts w:asciiTheme="majorHAnsi" w:cstheme="majorBidi" w:eastAsiaTheme="majorEastAsia" w:hAnsiTheme="majorHAnsi"/>
      <w:color w:themeColor="text1" w:themeTint="BF" w:val="404040"/>
    </w:rPr>
  </w:style>
  <w:style w:customStyle="1" w:styleId="Naslov9Char" w:type="character">
    <w:name w:val="Naslov 9 Char"/>
    <w:basedOn w:val="Zadanifontodlomka"/>
    <w:link w:val="Naslov9"/>
    <w:semiHidden/>
    <w:rsid w:val="00354188"/>
    <w:rPr>
      <w:rFonts w:asciiTheme="majorHAnsi" w:cstheme="majorBidi" w:eastAsiaTheme="majorEastAsia" w:hAnsiTheme="majorHAnsi"/>
      <w:i/>
      <w:iCs/>
      <w:color w:themeColor="text1" w:themeTint="BF" w:val="404040"/>
    </w:rPr>
  </w:style>
  <w:style w:customStyle="1" w:styleId="PodnojeChar" w:type="character">
    <w:name w:val="Podnožje Char"/>
    <w:basedOn w:val="Zadanifontodlomka"/>
    <w:link w:val="Podnoje"/>
    <w:rsid w:val="00354188"/>
    <w:rPr>
      <w:sz w:val="24"/>
      <w:szCs w:val="24"/>
    </w:rPr>
  </w:style>
  <w:style w:styleId="Tijeloteksta" w:type="paragraph">
    <w:name w:val="Body Text"/>
    <w:basedOn w:val="Normal"/>
    <w:link w:val="TijelotekstaChar"/>
    <w:unhideWhenUsed/>
    <w:rsid w:val="00354188"/>
    <w:pPr>
      <w:overflowPunct w:val="0"/>
      <w:autoSpaceDE w:val="0"/>
      <w:autoSpaceDN w:val="0"/>
      <w:adjustRightInd w:val="0"/>
      <w:jc w:val="both"/>
    </w:pPr>
    <w:rPr>
      <w:spacing w:val="-10"/>
      <w:szCs w:val="20"/>
    </w:rPr>
  </w:style>
  <w:style w:customStyle="1" w:styleId="TijelotekstaChar" w:type="character">
    <w:name w:val="Tijelo teksta Char"/>
    <w:basedOn w:val="Zadanifontodlomka"/>
    <w:link w:val="Tijeloteksta"/>
    <w:rsid w:val="00354188"/>
    <w:rPr>
      <w:spacing w:val="-10"/>
      <w:sz w:val="24"/>
    </w:rPr>
  </w:style>
  <w:style w:styleId="Tijeloteksta3" w:type="paragraph">
    <w:name w:val="Body Text 3"/>
    <w:basedOn w:val="Normal"/>
    <w:link w:val="Tijeloteksta3Char"/>
    <w:unhideWhenUsed/>
    <w:rsid w:val="00502903"/>
    <w:p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rsid w:val="00502903"/>
    <w:rPr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32A7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32A7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32A7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32A7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32A7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13446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6557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27337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58704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62338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42989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66175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93339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44241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srpnja 2018.</izvorni_sadrzaj>
    <derivirana_varijabla naziv="DomainObject.DatumDonosenjaOdluke_1">26.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326</izvorni_sadrzaj>
    <derivirana_varijabla naziv="DomainObject.Predmet.Broj_1">326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veljače 2018.</izvorni_sadrzaj>
    <derivirana_varijabla naziv="DomainObject.Predmet.DatumOsnivanja_1">5.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St-326/2018</izvorni_sadrzaj>
    <derivirana_varijabla naziv="DomainObject.Predmet.OznakaBroj_1">St-326/2018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MODISSA d.o.o. u stečaju</izvorni_sadrzaj>
    <derivirana_varijabla naziv="DomainObject.Predmet.ProtustrankaFormated_1">  Stečajna masa iza MODISSA d.o.o. u stečaju</derivirana_varijabla>
  </DomainObject.Predmet.ProtustrankaFormated>
  <DomainObject.Predmet.ProtustrankaFormatedOIB>
    <izvorni_sadrzaj>  Stečajna masa iza MODISSA d.o.o. u stečaju, OIB 84248019261</izvorni_sadrzaj>
    <derivirana_varijabla naziv="DomainObject.Predmet.ProtustrankaFormatedOIB_1">  Stečajna masa iza MODISSA d.o.o. u stečaju, OIB 84248019261</derivirana_varijabla>
  </DomainObject.Predmet.ProtustrankaFormatedOIB>
  <DomainObject.Predmet.ProtustrankaFormatedWithAdress>
    <izvorni_sadrzaj> Stečajna masa iza MODISSA d.o.o. u stečaju, Srebrnjak 20/b, 10431 Srebrnjak</izvorni_sadrzaj>
    <derivirana_varijabla naziv="DomainObject.Predmet.ProtustrankaFormatedWithAdress_1"> Stečajna masa iza MODISSA d.o.o. u stečaju, Srebrnjak 20/b, 10431 Srebrnjak</derivirana_varijabla>
  </DomainObject.Predmet.ProtustrankaFormatedWithAdress>
  <DomainObject.Predmet.ProtustrankaFormatedWithAdressOIB>
    <izvorni_sadrzaj> Stečajna masa iza MODISSA d.o.o. u stečaju, OIB 84248019261, Srebrnjak 20/b, 10431 Srebrnjak</izvorni_sadrzaj>
    <derivirana_varijabla naziv="DomainObject.Predmet.ProtustrankaFormatedWithAdressOIB_1"> Stečajna masa iza MODISSA d.o.o. u stečaju, OIB 84248019261, Srebrnjak 20/b, 10431 Srebrnjak</derivirana_varijabla>
  </DomainObject.Predmet.ProtustrankaFormatedWithAdressOIB>
  <DomainObject.Predmet.ProtustrankaWithAdress>
    <izvorni_sadrzaj>Stečajna masa iza MODISSA d.o.o. u stečaju Srebrnjak 20/b, 10431 Srebrnjak</izvorni_sadrzaj>
    <derivirana_varijabla naziv="DomainObject.Predmet.ProtustrankaWithAdress_1">Stečajna masa iza MODISSA d.o.o. u stečaju Srebrnjak 20/b, 10431 Srebrnjak</derivirana_varijabla>
  </DomainObject.Predmet.ProtustrankaWithAdress>
  <DomainObject.Predmet.ProtustrankaWithAdressOIB>
    <izvorni_sadrzaj>Stečajna masa iza MODISSA d.o.o. u stečaju, OIB 84248019261, Srebrnjak 20/b, 10431 Srebrnjak</izvorni_sadrzaj>
    <derivirana_varijabla naziv="DomainObject.Predmet.ProtustrankaWithAdressOIB_1">Stečajna masa iza MODISSA d.o.o. u stečaju, OIB 84248019261, Srebrnjak 20/b, 10431 Srebrnjak</derivirana_varijabla>
  </DomainObject.Predmet.ProtustrankaWithAdressOIB>
  <DomainObject.Predmet.ProtustrankaNazivFormated>
    <izvorni_sadrzaj>Stečajna masa iza MODISSA d.o.o. u stečaju</izvorni_sadrzaj>
    <derivirana_varijabla naziv="DomainObject.Predmet.ProtustrankaNazivFormated_1">Stečajna masa iza MODISSA d.o.o. u stečaju</derivirana_varijabla>
  </DomainObject.Predmet.ProtustrankaNazivFormated>
  <DomainObject.Predmet.ProtustrankaNazivFormatedOIB>
    <izvorni_sadrzaj>Stečajna masa iza MODISSA d.o.o. u stečaju, OIB 84248019261</izvorni_sadrzaj>
    <derivirana_varijabla naziv="DomainObject.Predmet.ProtustrankaNazivFormatedOIB_1">Stečajna masa iza MODISSA d.o.o. u stečaju, OIB 84248019261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Stečajna masa iza MODISSA d.o.o. u stečaju</item>
    </izvorni_sadrzaj>
    <derivirana_varijabla naziv="DomainObject.Predmet.ProtuStrankaListFormated_1">
      <item>Stečajna masa iza MODISSA d.o.o. u stečaju</item>
    </derivirana_varijabla>
  </DomainObject.Predmet.ProtuStrankaListFormated>
  <DomainObject.Predmet.ProtuStrankaListFormatedOIB>
    <izvorni_sadrzaj>
      <item>Stečajna masa iza MODISSA d.o.o. u stečaju, OIB 84248019261</item>
    </izvorni_sadrzaj>
    <derivirana_varijabla naziv="DomainObject.Predmet.ProtuStrankaListFormatedOIB_1">
      <item>Stečajna masa iza MODISSA d.o.o. u stečaju, OIB 84248019261</item>
    </derivirana_varijabla>
  </DomainObject.Predmet.ProtuStrankaListFormatedOIB>
  <DomainObject.Predmet.ProtuStrankaListFormatedWithAdress>
    <izvorni_sadrzaj>
      <item>Stečajna masa iza MODISSA d.o.o. u stečaju, Srebrnjak 20/b, 10431 Srebrnjak</item>
    </izvorni_sadrzaj>
    <derivirana_varijabla naziv="DomainObject.Predmet.ProtuStrankaListFormatedWithAdress_1">
      <item>Stečajna masa iza MODISSA d.o.o. u stečaju, Srebrnjak 20/b, 10431 Srebrnjak</item>
    </derivirana_varijabla>
  </DomainObject.Predmet.ProtuStrankaListFormatedWithAdress>
  <DomainObject.Predmet.ProtuStrankaListFormatedWithAdressOIB>
    <izvorni_sadrzaj>
      <item>Stečajna masa iza MODISSA d.o.o. u stečaju, OIB 84248019261, Srebrnjak 20/b, 10431 Srebrnjak</item>
    </izvorni_sadrzaj>
    <derivirana_varijabla naziv="DomainObject.Predmet.ProtuStrankaListFormatedWithAdressOIB_1">
      <item>Stečajna masa iza MODISSA d.o.o. u stečaju, OIB 84248019261, Srebrnjak 20/b, 10431 Srebrnjak</item>
    </derivirana_varijabla>
  </DomainObject.Predmet.ProtuStrankaListFormatedWithAdressOIB>
  <DomainObject.Predmet.ProtuStrankaListNazivFormated>
    <izvorni_sadrzaj>
      <item>Stečajna masa iza MODISSA d.o.o. u stečaju</item>
    </izvorni_sadrzaj>
    <derivirana_varijabla naziv="DomainObject.Predmet.ProtuStrankaListNazivFormated_1">
      <item>Stečajna masa iza MODISSA d.o.o. u stečaju</item>
    </derivirana_varijabla>
  </DomainObject.Predmet.ProtuStrankaListNazivFormated>
  <DomainObject.Predmet.ProtuStrankaListNazivFormatedOIB>
    <izvorni_sadrzaj>
      <item>Stečajna masa iza MODISSA d.o.o. u stečaju, OIB 84248019261</item>
    </izvorni_sadrzaj>
    <derivirana_varijabla naziv="DomainObject.Predmet.ProtuStrankaListNazivFormatedOIB_1">
      <item>Stečajna masa iza MODISSA d.o.o. u stečaju, OIB 84248019261</item>
    </derivirana_varijabla>
  </DomainObject.Predmet.ProtuStrankaListNazivFormatedOIB>
  <DomainObject.Predmet.OstaliListFormated>
    <izvorni_sadrzaj>
      <item>Branimir Pocrnić</item>
      <item>Natascha Schaps</item>
    </izvorni_sadrzaj>
    <derivirana_varijabla naziv="DomainObject.Predmet.OstaliListFormated_1">
      <item>Branimir Pocrnić</item>
      <item>Natascha Schaps</item>
    </derivirana_varijabla>
  </DomainObject.Predmet.OstaliListFormated>
  <DomainObject.Predmet.OstaliListFormatedOIB>
    <izvorni_sadrzaj>
      <item>Branimir Pocrnić, OIB 84986718450</item>
      <item>Natascha Schaps</item>
    </izvorni_sadrzaj>
    <derivirana_varijabla naziv="DomainObject.Predmet.OstaliListFormatedOIB_1">
      <item>Branimir Pocrnić, OIB 84986718450</item>
      <item>Natascha Schaps</item>
    </derivirana_varijabla>
  </DomainObject.Predmet.OstaliListFormatedOIB>
  <DomainObject.Predmet.OstaliListFormatedWithAdress>
    <izvorni_sadrzaj>
      <item>Branimir Pocrnić, Teslina 15, 10000 Zagreb</item>
      <item>Natascha Schaps, Rebar 2, 10000 Zagreb</item>
    </izvorni_sadrzaj>
    <derivirana_varijabla naziv="DomainObject.Predmet.OstaliListFormatedWithAdress_1">
      <item>Branimir Pocrnić, Teslina 15, 10000 Zagreb</item>
      <item>Natascha Schaps, Rebar 2, 10000 Zagreb</item>
    </derivirana_varijabla>
  </DomainObject.Predmet.OstaliListFormatedWithAdress>
  <DomainObject.Predmet.OstaliListFormatedWithAdressOIB>
    <izvorni_sadrzaj>
      <item>Branimir Pocrnić, OIB 84986718450, Teslina 15, 10000 Zagreb</item>
      <item>Natascha Schaps, Rebar 2, 10000 Zagreb</item>
    </izvorni_sadrzaj>
    <derivirana_varijabla naziv="DomainObject.Predmet.OstaliListFormatedWithAdressOIB_1">
      <item>Branimir Pocrnić, OIB 84986718450, Teslina 15, 10000 Zagreb</item>
      <item>Natascha Schaps, Rebar 2, 10000 Zagreb</item>
    </derivirana_varijabla>
  </DomainObject.Predmet.OstaliListFormatedWithAdressOIB>
  <DomainObject.Predmet.OstaliListNazivFormated>
    <izvorni_sadrzaj>
      <item>Branimir Pocrnić</item>
      <item>Natascha Schaps</item>
    </izvorni_sadrzaj>
    <derivirana_varijabla naziv="DomainObject.Predmet.OstaliListNazivFormated_1">
      <item>Branimir Pocrnić</item>
      <item>Natascha Schaps</item>
    </derivirana_varijabla>
  </DomainObject.Predmet.OstaliListNazivFormated>
  <DomainObject.Predmet.OstaliListNazivFormatedOIB>
    <izvorni_sadrzaj>
      <item>Branimir Pocrnić, OIB 84986718450</item>
      <item>Natascha Schaps</item>
    </izvorni_sadrzaj>
    <derivirana_varijabla naziv="DomainObject.Predmet.OstaliListNazivFormatedOIB_1">
      <item>Branimir Pocrnić, OIB 84986718450</item>
      <item>Natascha Schaps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srpnja 2018.</izvorni_sadrzaj>
    <derivirana_varijabla naziv="DomainObject.Datum_1">26.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Stečajna masa iza MODISSA d.o.o. u stečaju</izvorni_sadrzaj>
    <derivirana_varijabla naziv="DomainObject.Predmet.ProtustrankaIDrugi_1">Stečajna masa iza MODISSA d.o.o. u stečaju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Stečajna masa iza MODISSA d.o.o. u stečaju, OIB 84248019261, Srebrnjak 20/b, 10431 Srebrnjak</izvorni_sadrzaj>
    <derivirana_varijabla naziv="DomainObject.Predmet.ProtustrankaIDrugiAdressOIB_1">Stečajna masa iza MODISSA d.o.o. u stečaju, OIB 84248019261, Srebrnjak 20/b, 10431 Srebrnjak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Branimir Pocrnić</item>
      <item>Natascha Schaps</item>
      <item>Stečajna masa iza MODISSA d.o.o. u stečaju</item>
      <item>FINA Regionalni centar Zagreb</item>
    </izvorni_sadrzaj>
    <derivirana_varijabla naziv="DomainObject.Predmet.SudioniciListNaziv_1">
      <item>Branimir Pocrnić</item>
      <item>Natascha Schaps</item>
      <item>Stečajna masa iza MODISSA d.o.o. u stečaju</item>
      <item>FINA Regionalni centar Zagreb</item>
    </derivirana_varijabla>
  </DomainObject.Predmet.SudioniciListNaziv>
  <DomainObject.Predmet.SudioniciListAdressOIB>
    <izvorni_sadrzaj>
      <item>Branimir Pocrnić, OIB 84986718450, Teslina 15,10000 Zagreb</item>
      <item>Natascha Schaps, Rebar 2,10000 Zagreb</item>
      <item>Stečajna masa iza MODISSA d.o.o. u stečaju, OIB 84248019261, Srebrnjak 20/b,10431 Srebrnjak</item>
      <item>FINA Regionalni centar Zagreb, OIB 85821130368, Trg svibanjskih žrtava 1995. 1,10000 Zagreb</item>
    </izvorni_sadrzaj>
    <derivirana_varijabla naziv="DomainObject.Predmet.SudioniciListAdressOIB_1">
      <item>Branimir Pocrnić, OIB 84986718450, Teslina 15,10000 Zagreb</item>
      <item>Natascha Schaps, Rebar 2,10000 Zagreb</item>
      <item>Stečajna masa iza MODISSA d.o.o. u stečaju, OIB 84248019261, Srebrnjak 20/b,10431 Srebrnjak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84986718450</item>
      <item>, OIB null</item>
      <item>, OIB 84248019261</item>
      <item>, OIB 85821130368</item>
    </izvorni_sadrzaj>
    <derivirana_varijabla naziv="DomainObject.Predmet.SudioniciListNazivOIB_1">
      <item>, OIB 84986718450</item>
      <item>, OIB null</item>
      <item>, OIB 84248019261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471</properties:Words>
  <properties:Characters>2655</properties:Characters>
  <properties:Lines>97</properties:Lines>
  <properties:Paragraphs>55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3471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2018-07-26T07:51:00Z</dcterms:created>
  <dc:creator>Korisnik</dc:creator>
  <cp:lastModifiedBy>Valentina Delač</cp:lastModifiedBy>
  <cp:lastPrinted>2018-07-26T07:55:00Z</cp:lastPrinted>
  <dcterms:modified xmlns:xsi="http://www.w3.org/2001/XMLSchema-instance" xsi:type="dcterms:W3CDTF">2018-07-26T07:55:00Z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(Modisa nagrada st upravitelju konačna.docx)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