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06C73" w:rsidR="00106C73">
        <w:tc>
          <w:tcPr>
            <w:tcW w:type="dxa" w:w="3060"/>
          </w:tcPr>
          <w:p w:rsidRDefault="00106C73" w:rsidR="00106C73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bookmarkStart w:name="_GoBack" w:id="0"/>
            <w:bookmarkEnd w:id="0"/>
          </w:p>
          <w:p w:rsidRDefault="00106C73" w:rsidR="00106C73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noProof/>
                <w:lang w:eastAsia="hr-HR"/>
              </w:rPr>
              <w:drawing>
                <wp:anchor allowOverlap="true" layoutInCell="true" locked="false" behindDoc="false" relativeHeight="251659264" simplePos="false" distR="114300" distL="114300" distB="0" distT="0">
                  <wp:simplePos y="0" x="0"/>
                  <wp:positionH relativeFrom="column">
                    <wp:posOffset>-30480</wp:posOffset>
                  </wp:positionH>
                  <wp:positionV relativeFrom="paragraph">
                    <wp:posOffset>152400</wp:posOffset>
                  </wp:positionV>
                  <wp:extent cy="963295" cx="719455"/>
                  <wp:effectExtent b="8255" r="4445" t="0" l="0"/>
                  <wp:wrapSquare wrapText="bothSides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Default="00106C73" w:rsidR="00106C73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</w:t>
            </w:r>
          </w:p>
          <w:p w:rsidRDefault="00106C73" w:rsidR="00106C73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</w:p>
          <w:p w:rsidRDefault="00106C73" w:rsidR="00106C73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</w:p>
          <w:p w:rsidRDefault="00106C73" w:rsidR="00106C73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</w:p>
          <w:p w:rsidRDefault="00106C73" w:rsidR="00106C73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</w:p>
          <w:p w:rsidRDefault="00106C73" w:rsidR="00106C73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</w:p>
          <w:p w:rsidRDefault="00106C73" w:rsidR="00106C73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106C73" w:rsidR="00106C73">
            <w:pPr>
              <w:overflowPunct w:val="false"/>
              <w:autoSpaceDE w:val="false"/>
              <w:autoSpaceDN w:val="false"/>
              <w:adjustRightInd w:val="false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 Trgovački sud u Zagrebu</w:t>
            </w:r>
          </w:p>
          <w:p w:rsidRDefault="00106C73" w:rsidR="00106C73">
            <w:pPr>
              <w:overflowPunct w:val="false"/>
              <w:autoSpaceDE w:val="false"/>
              <w:autoSpaceDN w:val="false"/>
              <w:adjustRightInd w:val="false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   Zagreb, Amruševa 2/II</w:t>
            </w:r>
          </w:p>
        </w:tc>
      </w:tr>
      <w:tr w:rsidTr="00106C73" w:rsidR="00106C73">
        <w:tc>
          <w:tcPr>
            <w:tcW w:type="dxa" w:w="3060"/>
          </w:tcPr>
          <w:p w:rsidRDefault="00106C73" w:rsidR="00106C73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</w:p>
        </w:tc>
      </w:tr>
    </w:tbl>
    <w:p w14:textId="ea34da4" w14:paraId="ea34da4" w:rsidRDefault="00106C73" w:rsidP="00106C73" w:rsidR="00106C73">
      <w:pPr>
        <w:overflowPunct w:val="false"/>
        <w:autoSpaceDE w:val="false"/>
        <w:autoSpaceDN w:val="false"/>
        <w:adjustRightInd w:val="false"/>
        <w15:collapsed w:val="false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</w:p>
    <w:p w:rsidRDefault="00106C73" w:rsidP="00106C73" w:rsidR="00106C73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</w:t>
      </w:r>
    </w:p>
    <w:p w:rsidRDefault="00106C73" w:rsidP="00106C73" w:rsidR="00106C73">
      <w:pPr>
        <w:jc w:val="center"/>
        <w:rPr>
          <w:rFonts w:cs="Times New Roman" w:eastAsia="Times New Roman"/>
          <w:szCs w:val="24"/>
          <w:lang w:eastAsia="hr-HR"/>
        </w:rPr>
      </w:pPr>
    </w:p>
    <w:p w:rsidRDefault="00106C73" w:rsidP="00106C73" w:rsidR="00106C73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R E P U B L I K A    H R V A T S K A                  </w:t>
      </w:r>
    </w:p>
    <w:p w:rsidRDefault="00106C73" w:rsidP="00106C73" w:rsidR="00106C73">
      <w:pPr>
        <w:jc w:val="center"/>
        <w:rPr>
          <w:rFonts w:cs="Times New Roman" w:eastAsia="Times New Roman"/>
          <w:szCs w:val="24"/>
          <w:lang w:eastAsia="hr-HR"/>
        </w:rPr>
      </w:pPr>
    </w:p>
    <w:p w:rsidRDefault="00106C73" w:rsidP="00106C73" w:rsidR="00106C73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106C73" w:rsidP="00106C73" w:rsidR="00106C73">
      <w:pPr>
        <w:jc w:val="center"/>
        <w:rPr>
          <w:rFonts w:cs="Times New Roman" w:eastAsia="Times New Roman"/>
          <w:szCs w:val="24"/>
          <w:lang w:eastAsia="hr-HR"/>
        </w:rPr>
      </w:pPr>
    </w:p>
    <w:p w:rsidRDefault="00106C73" w:rsidP="00106C73" w:rsidR="00106C73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 xml:space="preserve">Trgovački sud u Zagrebu po sudskom savjetniku  Mariju Žiškoviću u pravnoj stvari podnositelja zahtjeva Financijske agencije, Zagreb, Trg svibanjskih žrtava 1995. br. 1, za pokretanjem skraćenog stečajnog postupka nad dužnikom 360 Karting Adriatic  d.o.o. MBS:080761115, OIB:11727463471, Zagreb, Avenija Dubrovnik 15, dana 27. travnja 2016. </w:t>
      </w:r>
    </w:p>
    <w:p w:rsidRDefault="00106C73" w:rsidP="00106C73" w:rsidR="00106C73">
      <w:pPr>
        <w:jc w:val="both"/>
        <w:rPr>
          <w:rFonts w:cs="Times New Roman" w:eastAsia="Times New Roman"/>
          <w:szCs w:val="24"/>
          <w:lang w:eastAsia="hr-HR"/>
        </w:rPr>
      </w:pPr>
    </w:p>
    <w:p w:rsidRDefault="00106C73" w:rsidP="00106C73" w:rsidR="00106C73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je</w:t>
      </w:r>
    </w:p>
    <w:p w:rsidRDefault="00106C73" w:rsidP="00106C73" w:rsidR="00106C73">
      <w:pPr>
        <w:jc w:val="center"/>
        <w:rPr>
          <w:rFonts w:cs="Times New Roman" w:eastAsia="Times New Roman"/>
          <w:szCs w:val="24"/>
          <w:lang w:eastAsia="hr-HR"/>
        </w:rPr>
      </w:pPr>
    </w:p>
    <w:p w:rsidRDefault="00106C73" w:rsidP="00106C73" w:rsidR="00106C73">
      <w:pPr>
        <w:ind w:firstLine="12" w:left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Pokreće se skraćeni stečajni postupak nad dužnikom 360 Karting Adriatic  d.o.o. MBS:080761115, OIB:11727463471, Zagreb, Avenija Dubrovnik 15.</w:t>
      </w:r>
    </w:p>
    <w:p w:rsidRDefault="00106C73" w:rsidP="00106C73" w:rsidR="00106C73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106C73" w:rsidP="00106C73" w:rsidR="00106C73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106C73" w:rsidP="00106C73" w:rsidR="00106C73">
      <w:pPr>
        <w:jc w:val="both"/>
        <w:rPr>
          <w:rFonts w:cs="Times New Roman" w:eastAsia="Times New Roman"/>
          <w:szCs w:val="24"/>
          <w:lang w:eastAsia="hr-HR"/>
        </w:rPr>
      </w:pPr>
    </w:p>
    <w:p w:rsidRDefault="00106C73" w:rsidP="00106C73" w:rsidR="00106C73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 xml:space="preserve">Zahtjev za provedbu skraćenog stečajnog postupka nad gore navedenom pravnom osobom podnijela je ovome sudu Financijska agencija, Zagreb, Trg svibanjskih žrtava 1995. br. 1,  (dalje: FINA), temeljem odredbe čl. 429. </w:t>
      </w:r>
      <w:r>
        <w:rPr>
          <w:rFonts w:cs="Times New Roman" w:eastAsia="Times New Roman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106C73" w:rsidP="00106C73" w:rsidR="00106C73">
      <w:pPr>
        <w:jc w:val="both"/>
        <w:rPr>
          <w:rFonts w:cs="Times New Roman" w:eastAsia="Times New Roman"/>
          <w:szCs w:val="20"/>
          <w:lang w:eastAsia="hr-HR"/>
        </w:rPr>
      </w:pPr>
    </w:p>
    <w:p w:rsidRDefault="00106C73" w:rsidP="00106C73" w:rsidR="00106C73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562 dana te da ukupni iznos duga evidentiranog na temelju neizvršenih osnova za plaćanje iznosi 1.623.161,32 kuna na dan 1. rujna 2015.</w:t>
      </w:r>
    </w:p>
    <w:p w:rsidRDefault="00106C73" w:rsidP="00106C73" w:rsidR="00106C73">
      <w:pPr>
        <w:jc w:val="both"/>
        <w:rPr>
          <w:rFonts w:cs="Times New Roman" w:eastAsia="Times New Roman"/>
          <w:szCs w:val="20"/>
          <w:lang w:eastAsia="hr-HR"/>
        </w:rPr>
      </w:pPr>
    </w:p>
    <w:p w:rsidRDefault="00106C73" w:rsidP="00106C73" w:rsidR="00106C73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106C73" w:rsidP="00106C73" w:rsidR="00106C73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</w:r>
    </w:p>
    <w:p w:rsidRDefault="00106C73" w:rsidP="00106C73" w:rsidR="00106C73">
      <w:pPr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106C73" w:rsidP="00106C73" w:rsidR="00106C73">
      <w:pPr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106C73" w:rsidP="00106C73" w:rsidR="00106C73">
      <w:pPr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106C73" w:rsidP="00106C73" w:rsidR="00106C73">
      <w:pPr>
        <w:ind w:firstLine="72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106C73" w:rsidP="00106C73" w:rsidR="00106C73">
      <w:pPr>
        <w:jc w:val="center"/>
        <w:rPr>
          <w:rFonts w:cs="Times New Roman" w:eastAsia="Times New Roman"/>
          <w:szCs w:val="20"/>
          <w:lang w:eastAsia="hr-HR"/>
        </w:rPr>
      </w:pPr>
    </w:p>
    <w:p w:rsidRDefault="00106C73" w:rsidP="00106C73" w:rsidR="00106C73">
      <w:pPr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Zagrebu, 27. travnja 2016. </w:t>
      </w:r>
    </w:p>
    <w:p w:rsidRDefault="00106C73" w:rsidP="00106C73" w:rsidR="00106C73">
      <w:pPr>
        <w:jc w:val="center"/>
        <w:rPr>
          <w:rFonts w:cs="Times New Roman" w:eastAsia="Times New Roman"/>
          <w:szCs w:val="20"/>
          <w:lang w:eastAsia="hr-HR"/>
        </w:rPr>
      </w:pPr>
    </w:p>
    <w:p w:rsidRDefault="00106C73" w:rsidP="00106C73" w:rsidR="00106C73">
      <w:pPr>
        <w:ind w:firstLine="720" w:left="504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SUDSKI SAVJETNIK:</w:t>
      </w:r>
    </w:p>
    <w:p w:rsidRDefault="00106C73" w:rsidP="00106C73" w:rsidR="00106C73">
      <w:pPr>
        <w:ind w:firstLine="720" w:left="5040"/>
        <w:jc w:val="center"/>
        <w:rPr>
          <w:rFonts w:cs="Times New Roman" w:eastAsia="Times New Roman"/>
          <w:szCs w:val="20"/>
          <w:lang w:eastAsia="hr-HR"/>
        </w:rPr>
      </w:pPr>
    </w:p>
    <w:p w:rsidRDefault="00106C73" w:rsidP="00106C73" w:rsidR="00106C73">
      <w:pPr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106034">
        <w:rPr>
          <w:rFonts w:cs="Times New Roman" w:eastAsia="Times New Roman"/>
          <w:szCs w:val="20"/>
          <w:lang w:eastAsia="hr-HR"/>
        </w:rPr>
        <w:t>, v.r.</w:t>
      </w:r>
      <w:r>
        <w:rPr>
          <w:rFonts w:cs="Times New Roman" w:eastAsia="Times New Roman"/>
          <w:szCs w:val="20"/>
          <w:lang w:eastAsia="hr-HR"/>
        </w:rPr>
        <w:t xml:space="preserve"> </w:t>
      </w:r>
    </w:p>
    <w:p w:rsidRDefault="00106C73" w:rsidP="00106C73" w:rsidR="00106C73">
      <w:pPr>
        <w:jc w:val="both"/>
        <w:rPr>
          <w:rFonts w:cs="Times New Roman" w:eastAsia="Times New Roman"/>
          <w:szCs w:val="24"/>
          <w:lang w:eastAsia="hr-HR"/>
        </w:rPr>
      </w:pPr>
    </w:p>
    <w:p w:rsidRDefault="00106C73" w:rsidP="00106C73" w:rsidR="00106C73">
      <w:pPr>
        <w:jc w:val="both"/>
        <w:rPr>
          <w:rFonts w:cs="Times New Roman" w:eastAsia="Times New Roman"/>
          <w:szCs w:val="24"/>
          <w:lang w:eastAsia="hr-HR"/>
        </w:rPr>
      </w:pPr>
    </w:p>
    <w:p w:rsidRDefault="00106C73" w:rsidP="00106C73" w:rsidR="00106C73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106C73" w:rsidP="00106C73" w:rsidR="00106C73">
      <w:pPr>
        <w:jc w:val="both"/>
        <w:rPr>
          <w:rFonts w:cs="Times New Roman" w:eastAsia="Times New Roman"/>
          <w:i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ovog rješenja dopuštena je  žalba Visokom trgovačkom sudu RH, a koja se podnosi u roku od 8 dana ovome sudu u 3 primjerka.</w:t>
      </w:r>
      <w:r>
        <w:rPr>
          <w:rFonts w:cs="Times New Roman" w:eastAsia="Times New Roman"/>
          <w:i/>
          <w:szCs w:val="24"/>
          <w:lang w:eastAsia="hr-HR"/>
        </w:rPr>
        <w:t xml:space="preserve">  </w:t>
      </w:r>
    </w:p>
    <w:p w:rsidRDefault="00106C73" w:rsidP="00106C73" w:rsidR="00106C73">
      <w:pPr>
        <w:jc w:val="both"/>
        <w:rPr>
          <w:rFonts w:cs="Times New Roman" w:eastAsia="Times New Roman"/>
          <w:i/>
          <w:szCs w:val="24"/>
          <w:lang w:eastAsia="hr-HR"/>
        </w:rPr>
      </w:pPr>
    </w:p>
    <w:p w:rsidRDefault="00106C73" w:rsidP="00106C73" w:rsidR="00106C73">
      <w:pPr>
        <w:jc w:val="both"/>
        <w:rPr>
          <w:rFonts w:cs="Times New Roman" w:eastAsia="Times New Roman"/>
          <w:szCs w:val="20"/>
          <w:lang w:eastAsia="hr-HR" w:val="en-GB"/>
        </w:rPr>
      </w:pPr>
    </w:p>
    <w:p w:rsidRDefault="00106034" w:rsidP="00106034" w:rsidR="00106034">
      <w:pPr>
        <w:ind w:firstLine="708" w:left="4248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 točnost otpravka – ovlašteni službenik:</w:t>
      </w:r>
    </w:p>
    <w:p w:rsidRDefault="00106034" w:rsidP="00106034" w:rsidR="00106034" w:rsidRPr="00106034">
      <w:pPr>
        <w:ind w:firstLine="708" w:left="4248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Vlasta Bogović Milisavljević</w:t>
      </w:r>
    </w:p>
    <w:p w:rsidRDefault="00106C73" w:rsidP="00106C73" w:rsidR="00106C73">
      <w:pPr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106C73" w:rsidP="00106C73" w:rsidR="00106C73">
      <w:pPr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106C73" w:rsidP="00106C73" w:rsidR="00106C73">
      <w:pPr>
        <w:rPr>
          <w:rFonts w:cs="Times New Roman" w:eastAsia="Times New Roman" w:hAnsi="Arial" w:ascii="Arial"/>
          <w:szCs w:val="20"/>
          <w:lang w:eastAsia="hr-HR" w:val="en-GB"/>
        </w:rPr>
      </w:pPr>
    </w:p>
    <w:p w:rsidRDefault="00106C73" w:rsidP="00106C73" w:rsidR="00106C73">
      <w:pPr>
        <w:spacing w:lineRule="auto" w:line="276" w:after="200"/>
        <w:rPr>
          <w:rFonts w:hAnsiTheme="minorHAnsi" w:asciiTheme="minorHAnsi"/>
          <w:sz w:val="22"/>
        </w:rPr>
      </w:pPr>
    </w:p>
    <w:p w:rsidRDefault="00106C73" w:rsidP="00106C73" w:rsidR="00106C73">
      <w:pPr>
        <w:spacing w:lineRule="auto" w:line="276" w:after="200"/>
        <w:rPr>
          <w:rFonts w:hAnsiTheme="minorHAnsi" w:asciiTheme="minorHAnsi"/>
          <w:sz w:val="22"/>
        </w:rPr>
      </w:pPr>
    </w:p>
    <w:p w:rsidRDefault="00106C73" w:rsidP="00106C73" w:rsidR="00106C73">
      <w:pPr>
        <w:spacing w:lineRule="auto" w:line="276" w:after="200"/>
        <w:rPr>
          <w:rFonts w:hAnsiTheme="minorHAnsi" w:asciiTheme="minorHAnsi"/>
          <w:sz w:val="22"/>
        </w:rPr>
      </w:pPr>
    </w:p>
    <w:p w:rsidRDefault="00106C73" w:rsidP="00106C73" w:rsidR="00106C73">
      <w:pPr>
        <w:spacing w:lineRule="auto" w:line="276" w:after="200"/>
        <w:rPr>
          <w:rFonts w:hAnsiTheme="minorHAnsi" w:asciiTheme="minorHAnsi"/>
          <w:sz w:val="22"/>
        </w:rPr>
      </w:pPr>
    </w:p>
    <w:p w:rsidRDefault="00106C73" w:rsidP="00106C73" w:rsidR="00106C73">
      <w:pPr>
        <w:spacing w:lineRule="auto" w:line="276" w:after="200"/>
        <w:rPr>
          <w:rFonts w:hAnsiTheme="minorHAnsi" w:asciiTheme="minorHAnsi"/>
          <w:sz w:val="22"/>
        </w:rPr>
      </w:pPr>
    </w:p>
    <w:p w:rsidRDefault="00106C73" w:rsidP="00106C73" w:rsidR="00106C73"/>
    <w:p w:rsidRDefault="00106C73" w:rsidP="00106C73" w:rsidR="00106C73"/>
    <w:p w:rsidRDefault="00106C73" w:rsidP="00106C73" w:rsidR="00106C73"/>
    <w:p w:rsidRDefault="00106C73" w:rsidP="00106C73" w:rsidR="00106C73"/>
    <w:p w:rsidRDefault="00106C73" w:rsidP="00106C73" w:rsidR="00106C73"/>
    <w:p w:rsidRDefault="006C181C" w:rsidR="006C181C"/>
    <w:sectPr w:rsidR="006C181C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0FBB" w:rsidP="00106C73" w:rsidR="00D20FBB">
      <w:r>
        <w:separator/>
      </w:r>
    </w:p>
  </w:endnote>
  <w:endnote w:id="0" w:type="continuationSeparator">
    <w:p w:rsidRDefault="00D20FBB" w:rsidP="00106C73" w:rsidR="00D20F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0FBB" w:rsidP="00106C73" w:rsidR="00D20FBB">
      <w:r>
        <w:separator/>
      </w:r>
    </w:p>
  </w:footnote>
  <w:footnote w:id="0" w:type="continuationSeparator">
    <w:p w:rsidRDefault="00D20FBB" w:rsidP="00106C73" w:rsidR="00D20F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0322934"/>
      <w:docPartObj>
        <w:docPartGallery w:val="Page Numbers (Top of Page)"/>
        <w:docPartUnique/>
      </w:docPartObj>
    </w:sdtPr>
    <w:sdtEndPr/>
    <w:sdtContent>
      <w:p w:rsidRDefault="00106C73" w:rsidR="00106C7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6034">
          <w:rPr>
            <w:noProof/>
          </w:rPr>
          <w:t>1</w:t>
        </w:r>
        <w:r>
          <w:fldChar w:fldCharType="end"/>
        </w:r>
      </w:p>
    </w:sdtContent>
  </w:sdt>
  <w:p w:rsidRDefault="00106C73" w:rsidP="00106C73" w:rsidR="00106C73">
    <w:pPr>
      <w:pStyle w:val="Zaglavlje"/>
      <w:jc w:val="right"/>
    </w:pPr>
    <w:r>
      <w:t>81. St-5745/2015-5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6C73"/>
    <w:rsid w:val="00106034"/>
    <w:rsid w:val="00106C73"/>
    <w:rsid w:val="006C181C"/>
    <w:rsid w:val="00AE295B"/>
    <w:rsid w:val="00D20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6C7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06C7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06C73"/>
  </w:style>
  <w:style w:styleId="Podnoje" w:type="paragraph">
    <w:name w:val="footer"/>
    <w:basedOn w:val="Normal"/>
    <w:link w:val="PodnojeChar"/>
    <w:uiPriority w:val="99"/>
    <w:unhideWhenUsed/>
    <w:rsid w:val="00106C7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06C73"/>
  </w:style>
  <w:style w:styleId="Tekstrezerviranogmjesta" w:type="character">
    <w:name w:val="Placeholder Text"/>
    <w:basedOn w:val="Zadanifontodlomka"/>
    <w:uiPriority w:val="99"/>
    <w:semiHidden/>
    <w:rsid w:val="001060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603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06034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0603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0603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6C7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06C7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06C73"/>
  </w:style>
  <w:style w:styleId="Podnoje" w:type="paragraph">
    <w:name w:val="footer"/>
    <w:basedOn w:val="Normal"/>
    <w:link w:val="PodnojeChar"/>
    <w:uiPriority w:val="99"/>
    <w:unhideWhenUsed/>
    <w:rsid w:val="00106C7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06C73"/>
  </w:style>
  <w:style w:styleId="Tekstrezerviranogmjesta" w:type="character">
    <w:name w:val="Placeholder Text"/>
    <w:basedOn w:val="Zadanifontodlomka"/>
    <w:uiPriority w:val="99"/>
    <w:semiHidden/>
    <w:rsid w:val="001060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603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06034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0603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0603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3417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5745</izvorni_sadrzaj>
    <derivirana_varijabla naziv="DomainObject.Predmet.Broj_1">5745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St-5745/2015</izvorni_sadrzaj>
    <derivirana_varijabla naziv="DomainObject.Predmet.OznakaBroj_1">St-5745/2015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360 Karting Adriatic d.o.o.</izvorni_sadrzaj>
    <derivirana_varijabla naziv="DomainObject.Predmet.ProtustrankaFormated_1">  360 Karting Adriatic d.o.o.</derivirana_varijabla>
  </DomainObject.Predmet.ProtustrankaFormated>
  <DomainObject.Predmet.ProtustrankaFormatedOIB>
    <izvorni_sadrzaj>  360 Karting Adriatic d.o.o., OIB 11727463471</izvorni_sadrzaj>
    <derivirana_varijabla naziv="DomainObject.Predmet.ProtustrankaFormatedOIB_1">  360 Karting Adriatic d.o.o., OIB 11727463471</derivirana_varijabla>
  </DomainObject.Predmet.ProtustrankaFormatedOIB>
  <DomainObject.Predmet.ProtustrankaFormatedWithAdress>
    <izvorni_sadrzaj> 360 Karting Adriatic d.o.o., Avenija Dubrovnik 15, 10000 Zagreb</izvorni_sadrzaj>
    <derivirana_varijabla naziv="DomainObject.Predmet.ProtustrankaFormatedWithAdress_1"> 360 Karting Adriatic d.o.o., Avenija Dubrovnik 15, 10000 Zagreb</derivirana_varijabla>
  </DomainObject.Predmet.ProtustrankaFormatedWithAdress>
  <DomainObject.Predmet.ProtustrankaFormatedWithAdressOIB>
    <izvorni_sadrzaj> 360 Karting Adriatic d.o.o., OIB 11727463471, Avenija Dubrovnik 15, 10000 Zagreb</izvorni_sadrzaj>
    <derivirana_varijabla naziv="DomainObject.Predmet.ProtustrankaFormatedWithAdressOIB_1"> 360 Karting Adriatic d.o.o., OIB 11727463471, Avenija Dubrovnik 15, 10000 Zagreb</derivirana_varijabla>
  </DomainObject.Predmet.ProtustrankaFormatedWithAdressOIB>
  <DomainObject.Predmet.ProtustrankaWithAdress>
    <izvorni_sadrzaj>360 Karting Adriatic d.o.o. Avenija Dubrovnik 15, 10000 Zagreb</izvorni_sadrzaj>
    <derivirana_varijabla naziv="DomainObject.Predmet.ProtustrankaWithAdress_1">360 Karting Adriatic d.o.o. Avenija Dubrovnik 15, 10000 Zagreb</derivirana_varijabla>
  </DomainObject.Predmet.ProtustrankaWithAdress>
  <DomainObject.Predmet.ProtustrankaWithAdressOIB>
    <izvorni_sadrzaj>360 Karting Adriatic d.o.o., OIB 11727463471, Avenija Dubrovnik 15, 10000 Zagreb</izvorni_sadrzaj>
    <derivirana_varijabla naziv="DomainObject.Predmet.ProtustrankaWithAdressOIB_1">360 Karting Adriatic d.o.o., OIB 11727463471, Avenija Dubrovnik 15, 10000 Zagreb</derivirana_varijabla>
  </DomainObject.Predmet.ProtustrankaWithAdressOIB>
  <DomainObject.Predmet.ProtustrankaNazivFormated>
    <izvorni_sadrzaj>360 Karting Adriatic d.o.o.</izvorni_sadrzaj>
    <derivirana_varijabla naziv="DomainObject.Predmet.ProtustrankaNazivFormated_1">360 Karting Adriatic d.o.o.</derivirana_varijabla>
  </DomainObject.Predmet.ProtustrankaNazivFormated>
  <DomainObject.Predmet.ProtustrankaNazivFormatedOIB>
    <izvorni_sadrzaj>360 Karting Adriatic d.o.o., OIB 11727463471</izvorni_sadrzaj>
    <derivirana_varijabla naziv="DomainObject.Predmet.ProtustrankaNazivFormatedOIB_1">360 Karting Adriatic d.o.o., OIB 11727463471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360 Karting Adriatic d.o.o.</item>
    </izvorni_sadrzaj>
    <derivirana_varijabla naziv="DomainObject.Predmet.ProtuStrankaListFormated_1">
      <item>360 Karting Adriatic d.o.o.</item>
    </derivirana_varijabla>
  </DomainObject.Predmet.ProtuStrankaListFormated>
  <DomainObject.Predmet.ProtuStrankaListFormatedOIB>
    <izvorni_sadrzaj>
      <item>360 Karting Adriatic d.o.o., OIB 11727463471</item>
    </izvorni_sadrzaj>
    <derivirana_varijabla naziv="DomainObject.Predmet.ProtuStrankaListFormatedOIB_1">
      <item>360 Karting Adriatic d.o.o., OIB 11727463471</item>
    </derivirana_varijabla>
  </DomainObject.Predmet.ProtuStrankaListFormatedOIB>
  <DomainObject.Predmet.ProtuStrankaListFormatedWithAdress>
    <izvorni_sadrzaj>
      <item>360 Karting Adriatic d.o.o., Avenija Dubrovnik 15, 10000 Zagreb</item>
    </izvorni_sadrzaj>
    <derivirana_varijabla naziv="DomainObject.Predmet.ProtuStrankaListFormatedWithAdress_1">
      <item>360 Karting Adriatic d.o.o., Avenija Dubrovnik 15, 10000 Zagreb</item>
    </derivirana_varijabla>
  </DomainObject.Predmet.ProtuStrankaListFormatedWithAdress>
  <DomainObject.Predmet.ProtuStrankaListFormatedWithAdressOIB>
    <izvorni_sadrzaj>
      <item>360 Karting Adriatic d.o.o., OIB 11727463471, Avenija Dubrovnik 15, 10000 Zagreb</item>
    </izvorni_sadrzaj>
    <derivirana_varijabla naziv="DomainObject.Predmet.ProtuStrankaListFormatedWithAdressOIB_1">
      <item>360 Karting Adriatic d.o.o., OIB 11727463471, Avenija Dubrovnik 15, 10000 Zagreb</item>
    </derivirana_varijabla>
  </DomainObject.Predmet.ProtuStrankaListFormatedWithAdressOIB>
  <DomainObject.Predmet.ProtuStrankaListNazivFormated>
    <izvorni_sadrzaj>
      <item>360 Karting Adriatic d.o.o.</item>
    </izvorni_sadrzaj>
    <derivirana_varijabla naziv="DomainObject.Predmet.ProtuStrankaListNazivFormated_1">
      <item>360 Karting Adriatic d.o.o.</item>
    </derivirana_varijabla>
  </DomainObject.Predmet.ProtuStrankaListNazivFormated>
  <DomainObject.Predmet.ProtuStrankaListNazivFormatedOIB>
    <izvorni_sadrzaj>
      <item>360 Karting Adriatic d.o.o., OIB 11727463471</item>
    </izvorni_sadrzaj>
    <derivirana_varijabla naziv="DomainObject.Predmet.ProtuStrankaListNazivFormatedOIB_1">
      <item>360 Karting Adriatic d.o.o., OIB 11727463471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360 Karting Adriatic d.o.o.</izvorni_sadrzaj>
    <derivirana_varijabla naziv="DomainObject.Predmet.ProtustrankaIDrugi_1">360 Karting Adriatic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360 Karting Adriatic d.o.o., OIB 11727463471, Avenija Dubrovnik 15, 10000 Zagreb</izvorni_sadrzaj>
    <derivirana_varijabla naziv="DomainObject.Predmet.ProtustrankaIDrugiAdressOIB_1">360 Karting Adriatic d.o.o., OIB 11727463471, Avenija Dubrovnik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360 Karting Adriatic d.o.o.</item>
    </izvorni_sadrzaj>
    <derivirana_varijabla naziv="DomainObject.Predmet.SudioniciListNaziv_1">
      <item>FINA Regionalni centar Zagreb</item>
      <item>360 Karting Adriatic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360 Karting Adriatic d.o.o., OIB 11727463471, Avenija Dubrovnik 15,10000 Zagreb</item>
    </izvorni_sadrzaj>
    <derivirana_varijabla naziv="DomainObject.Predmet.SudioniciListAdressOIB_1">
      <item>FINA Regionalni centar Zagreb, OIB 85821130368, Trg svibanjskih žrtava 1995. 1,10000 Zagreb</item>
      <item>360 Karting Adriatic d.o.o., OIB 11727463471, Avenija Dubrovnik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11727463471</item>
    </izvorni_sadrzaj>
    <derivirana_varijabla naziv="DomainObject.Predmet.SudioniciListNazivOIB_1">
      <item>, OIB 85821130368</item>
      <item>, OIB 11727463471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1959</properties:Characters>
  <properties:Lines>82</properties:Lines>
  <properties:Paragraphs>20</properties:Paragraphs>
  <properties:TotalTime>3</properties:TotalTime>
  <properties:ScaleCrop>false</properties:ScaleCrop>
  <properties:LinksUpToDate>false</properties:LinksUpToDate>
  <properties:CharactersWithSpaces>2502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2016-04-27T10:59:00Z</dcterms:created>
  <dc:creator>Lidija Klinčić</dc:creator>
  <cp:lastModifiedBy>Lidija Klinčić</cp:lastModifiedBy>
  <dcterms:modified xmlns:xsi="http://www.w3.org/2001/XMLSchema-instance" xsi:type="dcterms:W3CDTF">2016-04-27T11:05:00Z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