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d2c1a" w14:paraId="7ad2c1a" w:rsidRDefault="005A11E2" w:rsidR="004248B9" w:rsidRPr="005A11E2">
      <w:pPr>
        <w15:collapsed w:val="false"/>
        <w:rPr>
          <w:b/>
          <w:lang w:val="hr-HR"/>
        </w:rPr>
      </w:pPr>
      <w:bookmarkStart w:name="_GoBack" w:id="0"/>
      <w:bookmarkEnd w:id="0"/>
      <w:r w:rsidRPr="005A11E2">
        <w:rPr>
          <w:b/>
          <w:lang w:val="hr-HR"/>
        </w:rPr>
        <w:t xml:space="preserve">ROBAK </w:t>
      </w:r>
      <w:r w:rsidR="00103C9F" w:rsidRPr="005A11E2">
        <w:rPr>
          <w:b/>
          <w:lang w:val="hr-HR"/>
        </w:rPr>
        <w:t>d.o.o</w:t>
      </w:r>
      <w:r w:rsidR="00284F18" w:rsidRPr="005A11E2">
        <w:rPr>
          <w:b/>
          <w:lang w:val="hr-HR"/>
        </w:rPr>
        <w:t xml:space="preserve">. </w:t>
      </w:r>
      <w:r w:rsidR="004248B9" w:rsidRPr="005A11E2">
        <w:rPr>
          <w:b/>
          <w:lang w:val="hr-HR"/>
        </w:rPr>
        <w:t>u stečaju</w:t>
      </w:r>
      <w:r w:rsidR="00284F18" w:rsidRPr="005A11E2">
        <w:rPr>
          <w:b/>
          <w:lang w:val="hr-HR"/>
        </w:rPr>
        <w:t xml:space="preserve">, </w:t>
      </w:r>
    </w:p>
    <w:p w:rsidRDefault="005A11E2" w:rsidR="005F2D5C">
      <w:pPr>
        <w:rPr>
          <w:lang w:val="hr-HR"/>
        </w:rPr>
      </w:pPr>
      <w:r>
        <w:rPr>
          <w:lang w:val="hr-HR"/>
        </w:rPr>
        <w:t>44000 SISAK</w:t>
      </w:r>
      <w:r w:rsidR="00103C9F">
        <w:rPr>
          <w:lang w:val="hr-HR"/>
        </w:rPr>
        <w:t xml:space="preserve">, </w:t>
      </w:r>
      <w:r>
        <w:rPr>
          <w:lang w:val="hr-HR"/>
        </w:rPr>
        <w:t>Božidara Adžije 2</w:t>
      </w:r>
    </w:p>
    <w:p w:rsidRDefault="005A11E2" w:rsidR="005A11E2">
      <w:pPr>
        <w:rPr>
          <w:lang w:val="hr-HR"/>
        </w:rPr>
      </w:pPr>
      <w:r>
        <w:rPr>
          <w:lang w:val="hr-HR"/>
        </w:rPr>
        <w:t>OIB: 48783352395</w:t>
      </w:r>
    </w:p>
    <w:p w:rsidRDefault="004248B9" w:rsidR="00284F18">
      <w:pPr>
        <w:rPr>
          <w:lang w:val="hr-HR"/>
        </w:rPr>
      </w:pPr>
      <w:r>
        <w:rPr>
          <w:lang w:val="hr-HR"/>
        </w:rPr>
        <w:t>Stečajni upravitelj: Nebojša Antolić</w:t>
      </w:r>
    </w:p>
    <w:p w:rsidRDefault="00DB1948" w:rsidR="00DB1948">
      <w:pPr>
        <w:rPr>
          <w:lang w:val="hr-HR"/>
        </w:rPr>
      </w:pPr>
    </w:p>
    <w:p w:rsidRDefault="00470E79" w:rsidR="00284F18">
      <w:pPr>
        <w:rPr>
          <w:lang w:val="hr-HR"/>
        </w:rPr>
      </w:pPr>
      <w:r>
        <w:rPr>
          <w:lang w:val="hr-HR"/>
        </w:rPr>
        <w:t xml:space="preserve">Zagreb, </w:t>
      </w:r>
      <w:r w:rsidR="0029242F">
        <w:rPr>
          <w:lang w:val="hr-HR"/>
        </w:rPr>
        <w:t>14. ožujka 2018</w:t>
      </w:r>
      <w:r w:rsidR="00284F18">
        <w:rPr>
          <w:lang w:val="hr-HR"/>
        </w:rPr>
        <w:t>.g.</w:t>
      </w:r>
    </w:p>
    <w:p w:rsidRDefault="00284F18" w:rsidR="00284F18">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t>TRGOVAČKI SUD U ZAGREBU</w:t>
      </w:r>
    </w:p>
    <w:p w:rsidRDefault="005A11E2" w:rsidR="00284F18">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t>66 –St -1121/2014</w:t>
      </w:r>
    </w:p>
    <w:p w:rsidRDefault="005A11E2" w:rsidR="005A11E2">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t>Stečajni sudac: gosp. Mislav Kolakušić</w:t>
      </w:r>
    </w:p>
    <w:p w:rsidRDefault="00284F18" w:rsidR="00284F18">
      <w:pPr>
        <w:rPr>
          <w:lang w:val="hr-HR"/>
        </w:rPr>
      </w:pPr>
    </w:p>
    <w:p w:rsidRDefault="00E57968" w:rsidR="00E57968">
      <w:pPr>
        <w:rPr>
          <w:lang w:val="hr-HR"/>
        </w:rPr>
      </w:pPr>
    </w:p>
    <w:p w:rsidRDefault="00284F18" w:rsidR="00284F18">
      <w:pPr>
        <w:rPr>
          <w:b/>
          <w:bCs/>
          <w:sz w:val="28"/>
          <w:szCs w:val="28"/>
          <w:u w:val="single"/>
          <w:lang w:val="hr-HR"/>
        </w:rPr>
      </w:pPr>
      <w:r>
        <w:rPr>
          <w:lang w:val="hr-HR"/>
        </w:rPr>
        <w:tab/>
      </w:r>
      <w:r>
        <w:rPr>
          <w:lang w:val="hr-HR"/>
        </w:rPr>
        <w:tab/>
      </w:r>
      <w:r>
        <w:rPr>
          <w:lang w:val="hr-HR"/>
        </w:rPr>
        <w:tab/>
      </w:r>
      <w:r>
        <w:rPr>
          <w:lang w:val="hr-HR"/>
        </w:rPr>
        <w:tab/>
        <w:t xml:space="preserve">        </w:t>
      </w:r>
      <w:r w:rsidRPr="004248B9">
        <w:rPr>
          <w:b/>
          <w:bCs/>
          <w:sz w:val="28"/>
          <w:szCs w:val="28"/>
          <w:u w:val="single"/>
          <w:lang w:val="hr-HR"/>
        </w:rPr>
        <w:t>I Z V J E Š Ć E</w:t>
      </w:r>
    </w:p>
    <w:p w:rsidRDefault="004248B9" w:rsidR="004248B9">
      <w:pPr>
        <w:rPr>
          <w:b/>
          <w:bCs/>
          <w:sz w:val="28"/>
          <w:szCs w:val="28"/>
          <w:u w:val="single"/>
          <w:lang w:val="hr-HR"/>
        </w:rPr>
      </w:pPr>
    </w:p>
    <w:p w:rsidRDefault="0029242F" w:rsidP="0029242F" w:rsidR="004248B9">
      <w:pPr>
        <w:jc w:val="both"/>
        <w:rPr>
          <w:b/>
          <w:bCs/>
          <w:lang w:val="hr-HR"/>
        </w:rPr>
      </w:pPr>
      <w:r>
        <w:rPr>
          <w:b/>
          <w:bCs/>
          <w:lang w:val="hr-HR"/>
        </w:rPr>
        <w:t>STEČAJNOG UPRAVITELJA S</w:t>
      </w:r>
      <w:r w:rsidR="004248B9">
        <w:rPr>
          <w:b/>
          <w:bCs/>
          <w:lang w:val="hr-HR"/>
        </w:rPr>
        <w:t xml:space="preserve">A </w:t>
      </w:r>
      <w:r>
        <w:rPr>
          <w:b/>
          <w:bCs/>
          <w:lang w:val="hr-HR"/>
        </w:rPr>
        <w:t xml:space="preserve">PRIJEDLOGOM ZA DONOŠENJE RJEŠENJA O PRODAJI NEKRETNINA STEČAJNOG DUŽNIKA NA KOJIMA POSTOJE RAZLUČNA PRAVA U </w:t>
      </w:r>
      <w:r w:rsidR="00C629BF">
        <w:rPr>
          <w:b/>
          <w:bCs/>
          <w:lang w:val="hr-HR"/>
        </w:rPr>
        <w:t>S</w:t>
      </w:r>
      <w:r>
        <w:rPr>
          <w:b/>
          <w:bCs/>
          <w:lang w:val="hr-HR"/>
        </w:rPr>
        <w:t>TEČAJNOM POSTUPKU, UTEMELJENO NA ODREDBAMA ČL. 247 STEČAJNOG ZAKONA</w:t>
      </w:r>
    </w:p>
    <w:p w:rsidRDefault="0029242F" w:rsidR="0029242F" w:rsidRPr="0029242F">
      <w:pPr>
        <w:rPr>
          <w:bCs/>
          <w:lang w:val="hr-HR"/>
        </w:rPr>
      </w:pPr>
    </w:p>
    <w:p w:rsidRDefault="0029242F" w:rsidP="00893DAF" w:rsidR="00103C9F">
      <w:pPr>
        <w:jc w:val="both"/>
        <w:rPr>
          <w:bCs/>
          <w:lang w:val="hr-HR"/>
        </w:rPr>
      </w:pPr>
      <w:r w:rsidRPr="0029242F">
        <w:rPr>
          <w:bCs/>
          <w:lang w:val="hr-HR"/>
        </w:rPr>
        <w:t>U svojim izvješćima koje je podnio stečajnom sucu</w:t>
      </w:r>
      <w:r>
        <w:rPr>
          <w:bCs/>
          <w:lang w:val="hr-HR"/>
        </w:rPr>
        <w:t xml:space="preserve"> tijekom provedbe stečajnog postupka, stečajni upravitelj je ukazao, kako dužnik ima u vlasništvu nekretnine upisane u zk.ul.br. 4935 i zk.ul.br. 4936, sv</w:t>
      </w:r>
      <w:r w:rsidR="00C629BF">
        <w:rPr>
          <w:bCs/>
          <w:lang w:val="hr-HR"/>
        </w:rPr>
        <w:t>e k.o. Novi Sisak, da su sve nekeret</w:t>
      </w:r>
      <w:r>
        <w:rPr>
          <w:bCs/>
          <w:lang w:val="hr-HR"/>
        </w:rPr>
        <w:t>n</w:t>
      </w:r>
      <w:r w:rsidR="00C629BF">
        <w:rPr>
          <w:bCs/>
          <w:lang w:val="hr-HR"/>
        </w:rPr>
        <w:t>in</w:t>
      </w:r>
      <w:r>
        <w:rPr>
          <w:bCs/>
          <w:lang w:val="hr-HR"/>
        </w:rPr>
        <w:t>e opterećene razlučnim pravima</w:t>
      </w:r>
      <w:r w:rsidR="00C629BF">
        <w:rPr>
          <w:bCs/>
          <w:lang w:val="hr-HR"/>
        </w:rPr>
        <w:t xml:space="preserve"> kao u tablicama razlučnih prava koje su priložene izvješću za izvještajno ročište</w:t>
      </w:r>
      <w:r>
        <w:rPr>
          <w:bCs/>
          <w:lang w:val="hr-HR"/>
        </w:rPr>
        <w:t>, te da su u vrijeme otvaranja stečajnog postupka bili u tijeku ovršni postupci na označenim nekr</w:t>
      </w:r>
      <w:r w:rsidR="00C629BF">
        <w:rPr>
          <w:bCs/>
          <w:lang w:val="hr-HR"/>
        </w:rPr>
        <w:t>et</w:t>
      </w:r>
      <w:r>
        <w:rPr>
          <w:bCs/>
          <w:lang w:val="hr-HR"/>
        </w:rPr>
        <w:t>ninama, pokrenuti prije otvaranja stečajnog postupka.</w:t>
      </w:r>
    </w:p>
    <w:p w:rsidRDefault="0029242F" w:rsidP="00893DAF" w:rsidR="0029242F">
      <w:pPr>
        <w:jc w:val="both"/>
        <w:rPr>
          <w:bCs/>
          <w:lang w:val="hr-HR"/>
        </w:rPr>
      </w:pPr>
    </w:p>
    <w:p w:rsidRDefault="0029242F" w:rsidP="00893DAF" w:rsidR="0029242F">
      <w:pPr>
        <w:jc w:val="both"/>
        <w:rPr>
          <w:bCs/>
          <w:lang w:val="hr-HR"/>
        </w:rPr>
      </w:pPr>
      <w:r>
        <w:rPr>
          <w:bCs/>
          <w:lang w:val="hr-HR"/>
        </w:rPr>
        <w:t>U svojem posljednjem periodičnom izvješću od 18. siječnja 2018.g. stečajni upravitelj izvijestio je kako su tijekom provedbe stečajnog postupka obustavljena dva ovršna postupka na nekretninama dužnika, i to onaj vođen pod brojem Ovr-</w:t>
      </w:r>
      <w:r w:rsidR="00727C49">
        <w:rPr>
          <w:bCs/>
          <w:lang w:val="hr-HR"/>
        </w:rPr>
        <w:t xml:space="preserve">279/2016 Općinskog suda u Sisku rješenjem od 09. svibnja 2017.g. (jer nekretnine nisu prodane niti na drugoj javnoj dražbi), a onaj vođen kod istoga ovršnog suda pod brojem Ovr-430/2014 rješenjem donijetim dana 01. prosinca 2017.g. (zbog nedopustivosti ovrhe), koje je ispravljeno rješenjem donijetim dana 15. </w:t>
      </w:r>
      <w:r w:rsidR="00940534">
        <w:rPr>
          <w:bCs/>
          <w:lang w:val="hr-HR"/>
        </w:rPr>
        <w:t>s</w:t>
      </w:r>
      <w:r w:rsidR="00727C49">
        <w:rPr>
          <w:bCs/>
          <w:lang w:val="hr-HR"/>
        </w:rPr>
        <w:t>iječnja 2018.g.</w:t>
      </w:r>
      <w:r w:rsidR="00940534">
        <w:rPr>
          <w:bCs/>
          <w:lang w:val="hr-HR"/>
        </w:rPr>
        <w:t xml:space="preserve"> Prethodno označena rješenja o obustavi ovršnih postupaka dostavljam priloženo, a iz priloženih izvadaka iz zemljišnih knjiga razvidno je da su provedena i brisanja ranije zabilježenih ovrha.</w:t>
      </w:r>
    </w:p>
    <w:p w:rsidRDefault="00940534" w:rsidP="00893DAF" w:rsidR="00940534">
      <w:pPr>
        <w:jc w:val="both"/>
        <w:rPr>
          <w:bCs/>
          <w:lang w:val="hr-HR"/>
        </w:rPr>
      </w:pPr>
    </w:p>
    <w:p w:rsidRDefault="00940534" w:rsidP="00893DAF" w:rsidR="00940534">
      <w:pPr>
        <w:jc w:val="both"/>
        <w:rPr>
          <w:bCs/>
          <w:lang w:val="hr-HR"/>
        </w:rPr>
      </w:pPr>
      <w:r>
        <w:rPr>
          <w:bCs/>
          <w:lang w:val="hr-HR"/>
        </w:rPr>
        <w:t>Dodatno valja napomenuti, kako kod ovog suda postoji predmet Ovr-500/2015 u kojem, međutim, nije donijeto rješenje o dozvoli ovrhe, već je samo u zemljišnoj knjizi zabilježeno da je podnijet prijedlog za ovrhu, što ne predstavlja pravnu zapreku da se nekretnine dužnika prodaju u ovom stečajnom postupku utemeljeno na odredbama čl. 247 Stečajnog zakona.</w:t>
      </w:r>
    </w:p>
    <w:p w:rsidRDefault="00940534" w:rsidP="00893DAF" w:rsidR="00940534">
      <w:pPr>
        <w:jc w:val="both"/>
        <w:rPr>
          <w:bCs/>
          <w:lang w:val="hr-HR"/>
        </w:rPr>
      </w:pPr>
    </w:p>
    <w:p w:rsidRDefault="00940534" w:rsidP="00893DAF" w:rsidR="000939C2" w:rsidRPr="0029242F">
      <w:pPr>
        <w:jc w:val="both"/>
        <w:rPr>
          <w:bCs/>
          <w:lang w:val="hr-HR"/>
        </w:rPr>
      </w:pPr>
      <w:r>
        <w:rPr>
          <w:bCs/>
          <w:lang w:val="hr-HR"/>
        </w:rPr>
        <w:t xml:space="preserve">Kako su u obustavljenom ovršnom postupku Ovr-279/2016 Općinskog suda u Sisku zaključkom o prodaji od 17. ožujka 2017.g. utvrđene vrijednosti nekretnina u vlasništvu dužnika za potrebe provedbe ovršnog postupka, stečajni upravitelj predlaže, da </w:t>
      </w:r>
      <w:r w:rsidR="000939C2">
        <w:rPr>
          <w:bCs/>
          <w:lang w:val="hr-HR"/>
        </w:rPr>
        <w:t>se iz razloga ekonomičnosti postupka i u ovom stečajnom postupku vrijednost nekretnina odredi sukladno ranijim utvršenjima Općinskog suda u Sisku kao ovršnog, utemeljeno na zaključku o prodaji od 17. ožujka 2017.g., koji se dostavlja priloženo.</w:t>
      </w:r>
      <w:r>
        <w:rPr>
          <w:bCs/>
          <w:lang w:val="hr-HR"/>
        </w:rPr>
        <w:t xml:space="preserve"> </w:t>
      </w:r>
    </w:p>
    <w:p w:rsidRDefault="000939C2" w:rsidP="000939C2" w:rsidR="00E57968" w:rsidRPr="000939C2">
      <w:pPr>
        <w:numPr>
          <w:ilvl w:val="0"/>
          <w:numId w:val="14"/>
        </w:numPr>
        <w:jc w:val="both"/>
        <w:rPr>
          <w:bCs/>
          <w:lang w:val="hr-HR"/>
        </w:rPr>
      </w:pPr>
      <w:r w:rsidRPr="000939C2">
        <w:rPr>
          <w:bCs/>
          <w:lang w:val="hr-HR"/>
        </w:rPr>
        <w:lastRenderedPageBreak/>
        <w:t>2</w:t>
      </w:r>
      <w:r w:rsidRPr="000939C2">
        <w:rPr>
          <w:bCs/>
          <w:lang w:val="hr-HR"/>
        </w:rPr>
        <w:tab/>
        <w:t>-</w:t>
      </w:r>
    </w:p>
    <w:p w:rsidRDefault="008C6B7B" w:rsidP="00893DAF" w:rsidR="008C6B7B">
      <w:pPr>
        <w:jc w:val="both"/>
        <w:rPr>
          <w:lang w:val="hr-HR"/>
        </w:rPr>
      </w:pPr>
    </w:p>
    <w:p w:rsidRDefault="00864819" w:rsidP="00893DAF" w:rsidR="00864819">
      <w:pPr>
        <w:jc w:val="both"/>
        <w:rPr>
          <w:lang w:val="hr-HR"/>
        </w:rPr>
      </w:pPr>
    </w:p>
    <w:p w:rsidRDefault="000939C2" w:rsidP="00893DAF" w:rsidR="000939C2">
      <w:pPr>
        <w:jc w:val="both"/>
        <w:rPr>
          <w:lang w:val="hr-HR"/>
        </w:rPr>
      </w:pPr>
      <w:r>
        <w:rPr>
          <w:lang w:val="hr-HR"/>
        </w:rPr>
        <w:t xml:space="preserve">Slijedom iznijetoga, stečajni upravitelj predlaže da stečajni sudac, utemeljeno na odredbama čl. 247 Stečajnog zakona, posebnim rješenjem odredi prodaju nekretnina </w:t>
      </w:r>
      <w:r w:rsidR="00511743">
        <w:rPr>
          <w:lang w:val="hr-HR"/>
        </w:rPr>
        <w:t>u vlasništvu stečajnog dužnika</w:t>
      </w:r>
      <w:r>
        <w:rPr>
          <w:lang w:val="hr-HR"/>
        </w:rPr>
        <w:t xml:space="preserve"> u stečajnom postupku (čl. 247 st. 2 Stečajnog zakona)</w:t>
      </w:r>
      <w:r w:rsidR="00511743">
        <w:rPr>
          <w:lang w:val="hr-HR"/>
        </w:rPr>
        <w:t>,</w:t>
      </w:r>
      <w:r>
        <w:rPr>
          <w:lang w:val="hr-HR"/>
        </w:rPr>
        <w:t xml:space="preserve"> a posebnim zaključkom o proda</w:t>
      </w:r>
      <w:r w:rsidR="00FE2C65">
        <w:rPr>
          <w:lang w:val="hr-HR"/>
        </w:rPr>
        <w:t>j</w:t>
      </w:r>
      <w:r>
        <w:rPr>
          <w:lang w:val="hr-HR"/>
        </w:rPr>
        <w:t>i (čl. 247 st. 3 Ste</w:t>
      </w:r>
      <w:r w:rsidR="00FE2C65">
        <w:rPr>
          <w:lang w:val="hr-HR"/>
        </w:rPr>
        <w:t>č</w:t>
      </w:r>
      <w:r w:rsidR="00BA5CC8">
        <w:rPr>
          <w:lang w:val="hr-HR"/>
        </w:rPr>
        <w:t xml:space="preserve"> </w:t>
      </w:r>
      <w:r>
        <w:rPr>
          <w:lang w:val="hr-HR"/>
        </w:rPr>
        <w:t>ajnog zakona)</w:t>
      </w:r>
      <w:r w:rsidR="00511743">
        <w:rPr>
          <w:lang w:val="hr-HR"/>
        </w:rPr>
        <w:t xml:space="preserve"> utvr</w:t>
      </w:r>
      <w:r>
        <w:rPr>
          <w:lang w:val="hr-HR"/>
        </w:rPr>
        <w:t>di vrijednost nekret</w:t>
      </w:r>
      <w:r w:rsidR="00FE2C65">
        <w:rPr>
          <w:lang w:val="hr-HR"/>
        </w:rPr>
        <w:t>nina, te način i uvjete prodaje.</w:t>
      </w:r>
    </w:p>
    <w:p w:rsidRDefault="000939C2" w:rsidP="00893DAF" w:rsidR="000939C2">
      <w:pPr>
        <w:jc w:val="both"/>
        <w:rPr>
          <w:lang w:val="hr-HR"/>
        </w:rPr>
      </w:pPr>
    </w:p>
    <w:p w:rsidRDefault="000939C2" w:rsidP="00893DAF" w:rsidR="00511743">
      <w:pPr>
        <w:jc w:val="both"/>
        <w:rPr>
          <w:lang w:val="hr-HR"/>
        </w:rPr>
      </w:pPr>
      <w:r>
        <w:rPr>
          <w:lang w:val="hr-HR"/>
        </w:rPr>
        <w:t xml:space="preserve">Nekretnine u vlasništvu ROBAK d.o.o. u stečaju, Sisak, Božidara Adžije 2, OIB: 48783352395, </w:t>
      </w:r>
      <w:r w:rsidR="00511743">
        <w:rPr>
          <w:lang w:val="hr-HR"/>
        </w:rPr>
        <w:t xml:space="preserve">upisane u zemljišne knjige Općinskog suda u Sisku u </w:t>
      </w:r>
    </w:p>
    <w:p w:rsidRDefault="007B5BC6" w:rsidP="007B5BC6" w:rsidR="007B5BC6">
      <w:pPr>
        <w:jc w:val="both"/>
        <w:rPr>
          <w:lang w:val="hr-HR"/>
        </w:rPr>
      </w:pPr>
    </w:p>
    <w:p w:rsidRDefault="007B5BC6" w:rsidP="007B5BC6" w:rsidR="000939C2">
      <w:pPr>
        <w:jc w:val="both"/>
        <w:rPr>
          <w:lang w:val="hr-HR"/>
        </w:rPr>
      </w:pPr>
      <w:r w:rsidRPr="006D51D8">
        <w:rPr>
          <w:b/>
          <w:lang w:val="hr-HR"/>
        </w:rPr>
        <w:t>-zk.ul.br.</w:t>
      </w:r>
      <w:r w:rsidR="006D51D8" w:rsidRPr="006D51D8">
        <w:rPr>
          <w:b/>
          <w:lang w:val="hr-HR"/>
        </w:rPr>
        <w:t xml:space="preserve"> 4935 k.o. Novi Sisak</w:t>
      </w:r>
      <w:r w:rsidR="006D51D8">
        <w:rPr>
          <w:lang w:val="hr-HR"/>
        </w:rPr>
        <w:t xml:space="preserve"> kao kč.br. 1938/4 – Gospodarska zgrada </w:t>
      </w:r>
      <w:r w:rsidR="000169F1">
        <w:rPr>
          <w:lang w:val="hr-HR"/>
        </w:rPr>
        <w:t xml:space="preserve">Božidara Adžije 2 </w:t>
      </w:r>
      <w:r w:rsidR="006D51D8">
        <w:rPr>
          <w:lang w:val="hr-HR"/>
        </w:rPr>
        <w:t xml:space="preserve">površine 13 m2 i Poslovna zgrada </w:t>
      </w:r>
      <w:r w:rsidR="000169F1">
        <w:rPr>
          <w:lang w:val="hr-HR"/>
        </w:rPr>
        <w:t xml:space="preserve">Božidara Adžije 2 </w:t>
      </w:r>
      <w:r w:rsidR="006D51D8">
        <w:rPr>
          <w:lang w:val="hr-HR"/>
        </w:rPr>
        <w:t>površine 429 m2, podijeljena u 4 poduloška</w:t>
      </w:r>
      <w:r w:rsidR="000939C2">
        <w:rPr>
          <w:lang w:val="hr-HR"/>
        </w:rPr>
        <w:t>:</w:t>
      </w:r>
    </w:p>
    <w:p w:rsidRDefault="000169F1" w:rsidP="007B5BC6" w:rsidR="000169F1">
      <w:pPr>
        <w:jc w:val="both"/>
        <w:rPr>
          <w:lang w:val="hr-HR"/>
        </w:rPr>
      </w:pPr>
    </w:p>
    <w:p w:rsidRDefault="000169F1" w:rsidP="000E701E" w:rsidR="000169F1" w:rsidRPr="000E701E">
      <w:pPr>
        <w:numPr>
          <w:ilvl w:val="0"/>
          <w:numId w:val="15"/>
        </w:numPr>
        <w:jc w:val="both"/>
        <w:rPr>
          <w:lang w:val="hr-HR"/>
        </w:rPr>
      </w:pPr>
      <w:r>
        <w:rPr>
          <w:u w:val="single"/>
          <w:lang w:val="hr-HR"/>
        </w:rPr>
        <w:t>s</w:t>
      </w:r>
      <w:r w:rsidR="000939C2" w:rsidRPr="000169F1">
        <w:rPr>
          <w:u w:val="single"/>
          <w:lang w:val="hr-HR"/>
        </w:rPr>
        <w:t>uvlasnički dio: 500/2000</w:t>
      </w:r>
      <w:r>
        <w:rPr>
          <w:u w:val="single"/>
          <w:lang w:val="hr-HR"/>
        </w:rPr>
        <w:t xml:space="preserve"> ETAŽNO VLASNIŠTVO (E-1)</w:t>
      </w:r>
      <w:r w:rsidR="000939C2">
        <w:rPr>
          <w:lang w:val="hr-HR"/>
        </w:rPr>
        <w:t xml:space="preserve"> </w:t>
      </w:r>
      <w:r>
        <w:rPr>
          <w:lang w:val="hr-HR"/>
        </w:rPr>
        <w:t xml:space="preserve">500/2000 dijela </w:t>
      </w:r>
      <w:r w:rsidR="000939C2">
        <w:rPr>
          <w:lang w:val="hr-HR"/>
        </w:rPr>
        <w:t xml:space="preserve">čest.br. 1938/4 poslovna zgrada od 429 m2, </w:t>
      </w:r>
      <w:r>
        <w:rPr>
          <w:lang w:val="hr-HR"/>
        </w:rPr>
        <w:t>gospodarska zgarada od 13 m2 u Ulici Božidara Adžije 2, s kojima je povezan posebni dio i to: POSLOVNI PROSTOR – AUTO SALON – koji se sastoji od izložbenog prostora auto salona netto površine od 142,96 m2, uredskog prostora auto salona</w:t>
      </w:r>
      <w:r w:rsidR="006D51D8">
        <w:rPr>
          <w:lang w:val="hr-HR"/>
        </w:rPr>
        <w:t xml:space="preserve"> </w:t>
      </w:r>
      <w:r>
        <w:rPr>
          <w:lang w:val="hr-HR"/>
        </w:rPr>
        <w:t xml:space="preserve">netto površine od 17,86 m2 i sanitarije auto salona netto površine 1,39 m2, ukupne netto površine 162,21 m2 –  </w:t>
      </w:r>
      <w:r w:rsidRPr="00C629BF">
        <w:rPr>
          <w:b/>
          <w:lang w:val="hr-HR"/>
        </w:rPr>
        <w:t>utvrđene vrijednosti 648.840,00 kuna</w:t>
      </w:r>
    </w:p>
    <w:p w:rsidRDefault="000169F1" w:rsidP="000169F1" w:rsidR="000169F1">
      <w:pPr>
        <w:ind w:left="720"/>
        <w:jc w:val="both"/>
        <w:rPr>
          <w:lang w:val="hr-HR"/>
        </w:rPr>
      </w:pPr>
    </w:p>
    <w:p w:rsidRDefault="000169F1" w:rsidP="000169F1" w:rsidR="000E701E" w:rsidRPr="00C629BF">
      <w:pPr>
        <w:numPr>
          <w:ilvl w:val="0"/>
          <w:numId w:val="15"/>
        </w:numPr>
        <w:jc w:val="both"/>
        <w:rPr>
          <w:b/>
          <w:lang w:val="hr-HR"/>
        </w:rPr>
      </w:pPr>
      <w:r w:rsidRPr="000169F1">
        <w:rPr>
          <w:u w:val="single"/>
          <w:lang w:val="hr-HR"/>
        </w:rPr>
        <w:t>suvlasnički dio: 689/2000 ETAŽNO VLASNIŠTVO (E-2)</w:t>
      </w:r>
      <w:r>
        <w:rPr>
          <w:lang w:val="hr-HR"/>
        </w:rPr>
        <w:t xml:space="preserve"> 689/2000 dijela čest.br. 1938/4 poslovna zgrada od 429 m2, gospodarska zgrada od 13, m2, u Ulici Božidara Adžije 2, s kojima je povezan posebni dio i to: POSLOVNI PROSTOR – AUTO SERVIS – koji se sastoji od servisnog prostora netto površine 136,57 m2, pomoćnog prostora – osoblje netto površine </w:t>
      </w:r>
      <w:r w:rsidR="000E701E">
        <w:rPr>
          <w:lang w:val="hr-HR"/>
        </w:rPr>
        <w:t xml:space="preserve">34,72 m2, poslovnog prostora – ured netto površine od 11,21 m2, sanitarije s tušem netto površine 5,33 m2, ukupne netto površine 225,98 m2 – </w:t>
      </w:r>
      <w:r w:rsidR="000E701E" w:rsidRPr="00C629BF">
        <w:rPr>
          <w:b/>
          <w:lang w:val="hr-HR"/>
        </w:rPr>
        <w:t>utvrđene vrijednosti 903.920,00 kuna</w:t>
      </w:r>
    </w:p>
    <w:p w:rsidRDefault="000E701E" w:rsidP="000E701E" w:rsidR="000E701E">
      <w:pPr>
        <w:jc w:val="both"/>
        <w:rPr>
          <w:lang w:val="hr-HR"/>
        </w:rPr>
      </w:pPr>
    </w:p>
    <w:p w:rsidRDefault="000E701E" w:rsidP="000169F1" w:rsidR="00D3059D" w:rsidRPr="00C629BF">
      <w:pPr>
        <w:numPr>
          <w:ilvl w:val="0"/>
          <w:numId w:val="15"/>
        </w:numPr>
        <w:jc w:val="both"/>
        <w:rPr>
          <w:b/>
          <w:lang w:val="hr-HR"/>
        </w:rPr>
      </w:pPr>
      <w:r>
        <w:rPr>
          <w:lang w:val="hr-HR"/>
        </w:rPr>
        <w:t xml:space="preserve">suvlasnički dio </w:t>
      </w:r>
      <w:r w:rsidRPr="000E701E">
        <w:rPr>
          <w:u w:val="single"/>
          <w:lang w:val="hr-HR"/>
        </w:rPr>
        <w:t>678/2000 ETAŽNO VLASNIŠTVO (E-3)</w:t>
      </w:r>
      <w:r w:rsidR="000169F1">
        <w:rPr>
          <w:lang w:val="hr-HR"/>
        </w:rPr>
        <w:t xml:space="preserve"> </w:t>
      </w:r>
      <w:r>
        <w:rPr>
          <w:lang w:val="hr-HR"/>
        </w:rPr>
        <w:t>678/2000 dijela čest.br. 1938/4 poslovna zgrada od 429 m2, gospodarska zgrada od 13 m2, u Ulici Božidara Adžije 2 s kojima je povezan posebni dio i to: POSLOVNI PROSTORI B2 – UREDI – koji se sastoje od komunikacije-hodnik netto površine od 30,88 m2, sanitarije netto površine od 8,45 m2, poslovni prostor Ured B2.1. netto površine 10,75 m2, poslovni prostor Ured B2.2. n</w:t>
      </w:r>
      <w:r w:rsidR="00BA5CC8">
        <w:rPr>
          <w:lang w:val="hr-HR"/>
        </w:rPr>
        <w:t>etto površine 14,67 m2, poslovn</w:t>
      </w:r>
      <w:r>
        <w:rPr>
          <w:lang w:val="hr-HR"/>
        </w:rPr>
        <w:t xml:space="preserve">i prostor Ured B2.3. netto površine 15,05 m2, poslovni prostor Ured B2.4. netto površine 15,33 m2, poslovni prostor Ured B2.5. netto površine 14,81 m2, poslovni prostor Ured B2.6. netto površine 22,04 m2, poslovni prostor Ured B2.7. netto površine 38,43 m2, poslovni prostor Ured B2.8. netto površine </w:t>
      </w:r>
      <w:r w:rsidR="00D3059D">
        <w:rPr>
          <w:lang w:val="hr-HR"/>
        </w:rPr>
        <w:t>15,33 m2, poslovni prostor Ured B2.9. netto površine 15,05 m2, poslovni prostor Ure</w:t>
      </w:r>
      <w:r w:rsidR="00BA5CC8">
        <w:rPr>
          <w:lang w:val="hr-HR"/>
        </w:rPr>
        <w:t>d B2.10. netto površine 14,67 m2</w:t>
      </w:r>
      <w:r w:rsidR="00D3059D">
        <w:rPr>
          <w:lang w:val="hr-HR"/>
        </w:rPr>
        <w:t xml:space="preserve">, ukupne netto površine 219,11 m2 – </w:t>
      </w:r>
      <w:r w:rsidR="00D3059D" w:rsidRPr="00C629BF">
        <w:rPr>
          <w:b/>
          <w:lang w:val="hr-HR"/>
        </w:rPr>
        <w:t>utvrđene vrijednosti 876.440,00 kuna</w:t>
      </w:r>
    </w:p>
    <w:p w:rsidRDefault="00D3059D" w:rsidP="00D3059D" w:rsidR="00D3059D">
      <w:pPr>
        <w:pStyle w:val="Odlomakpopisa"/>
        <w:rPr>
          <w:lang w:val="hr-HR"/>
        </w:rPr>
      </w:pPr>
    </w:p>
    <w:p w:rsidRDefault="00D3059D" w:rsidP="00864819" w:rsidR="00864819" w:rsidRPr="00FE2C65">
      <w:pPr>
        <w:numPr>
          <w:ilvl w:val="0"/>
          <w:numId w:val="15"/>
        </w:numPr>
        <w:jc w:val="both"/>
        <w:rPr>
          <w:b/>
          <w:lang w:val="hr-HR"/>
        </w:rPr>
      </w:pPr>
      <w:r w:rsidRPr="00D3059D">
        <w:rPr>
          <w:u w:val="single"/>
          <w:lang w:val="hr-HR"/>
        </w:rPr>
        <w:t>suvlasnički dio 133/2000 ETAŽNO VLASNIŠTVO (E-4)</w:t>
      </w:r>
      <w:r w:rsidR="00864819">
        <w:rPr>
          <w:lang w:val="hr-HR"/>
        </w:rPr>
        <w:t xml:space="preserve"> 133/2000 dijel</w:t>
      </w:r>
      <w:r>
        <w:rPr>
          <w:lang w:val="hr-HR"/>
        </w:rPr>
        <w:t>a čest.br. 1938/4 poslovna zgrada od 429 m2, gospodarska zgrada od 13 m2, u Ulici Božidara Adžije 2</w:t>
      </w:r>
      <w:r w:rsidR="00864819">
        <w:rPr>
          <w:lang w:val="hr-HR"/>
        </w:rPr>
        <w:t>, s kojima je povezan posebni dio i to: POSLOVNI PROSTOR B3 – koji se sastoji od poslovnog prostora B3</w:t>
      </w:r>
      <w:r w:rsidR="00FE2C65">
        <w:rPr>
          <w:lang w:val="hr-HR"/>
        </w:rPr>
        <w:t xml:space="preserve"> </w:t>
      </w:r>
      <w:r w:rsidR="00864819">
        <w:rPr>
          <w:lang w:val="hr-HR"/>
        </w:rPr>
        <w:t xml:space="preserve">ukupne netto površine 42,98 m2, </w:t>
      </w:r>
      <w:r w:rsidR="00864819" w:rsidRPr="00FE2C65">
        <w:rPr>
          <w:b/>
          <w:lang w:val="hr-HR"/>
        </w:rPr>
        <w:t>utvrđene vrijednosti 171.920,00 kuna, te</w:t>
      </w:r>
    </w:p>
    <w:p w:rsidRDefault="00864819" w:rsidP="00864819" w:rsidR="00864819">
      <w:pPr>
        <w:ind w:left="3600"/>
        <w:jc w:val="both"/>
        <w:rPr>
          <w:lang w:val="hr-HR"/>
        </w:rPr>
      </w:pPr>
      <w:r>
        <w:rPr>
          <w:lang w:val="hr-HR"/>
        </w:rPr>
        <w:lastRenderedPageBreak/>
        <w:t xml:space="preserve">- </w:t>
      </w:r>
      <w:r>
        <w:rPr>
          <w:lang w:val="hr-HR"/>
        </w:rPr>
        <w:tab/>
        <w:t>3</w:t>
      </w:r>
      <w:r>
        <w:rPr>
          <w:lang w:val="hr-HR"/>
        </w:rPr>
        <w:tab/>
        <w:t>-</w:t>
      </w:r>
    </w:p>
    <w:p w:rsidRDefault="00864819" w:rsidP="00864819" w:rsidR="00864819">
      <w:pPr>
        <w:ind w:left="3600"/>
        <w:jc w:val="both"/>
        <w:rPr>
          <w:lang w:val="hr-HR"/>
        </w:rPr>
      </w:pPr>
    </w:p>
    <w:p w:rsidRDefault="00864819" w:rsidP="00864819" w:rsidR="00864819">
      <w:pPr>
        <w:ind w:left="3600"/>
        <w:jc w:val="both"/>
        <w:rPr>
          <w:lang w:val="hr-HR"/>
        </w:rPr>
      </w:pPr>
    </w:p>
    <w:p w:rsidRDefault="006D51D8" w:rsidP="00864819" w:rsidR="00B60DD3" w:rsidRPr="00FE2C65">
      <w:pPr>
        <w:jc w:val="both"/>
        <w:rPr>
          <w:b/>
          <w:lang w:val="hr-HR"/>
        </w:rPr>
      </w:pPr>
      <w:r w:rsidRPr="006D51D8">
        <w:rPr>
          <w:b/>
          <w:lang w:val="hr-HR"/>
        </w:rPr>
        <w:t>-zk.ul.br. 4936 k.o. Novi Sisak</w:t>
      </w:r>
      <w:r>
        <w:rPr>
          <w:lang w:val="hr-HR"/>
        </w:rPr>
        <w:t xml:space="preserve"> kao kč.br. 1938/1 – </w:t>
      </w:r>
      <w:r w:rsidR="00864819">
        <w:rPr>
          <w:lang w:val="hr-HR"/>
        </w:rPr>
        <w:t xml:space="preserve">Dvorište Božidara Adžije površine 2524 m2 i </w:t>
      </w:r>
      <w:r>
        <w:rPr>
          <w:lang w:val="hr-HR"/>
        </w:rPr>
        <w:t>Poslovna zgrada</w:t>
      </w:r>
      <w:r w:rsidR="00864819">
        <w:rPr>
          <w:lang w:val="hr-HR"/>
        </w:rPr>
        <w:t xml:space="preserve">, Božidara Adžije, površine </w:t>
      </w:r>
      <w:r>
        <w:rPr>
          <w:lang w:val="hr-HR"/>
        </w:rPr>
        <w:t>119 m2</w:t>
      </w:r>
      <w:r w:rsidR="00864819">
        <w:rPr>
          <w:lang w:val="hr-HR"/>
        </w:rPr>
        <w:t>,</w:t>
      </w:r>
      <w:r>
        <w:rPr>
          <w:lang w:val="hr-HR"/>
        </w:rPr>
        <w:t xml:space="preserve"> </w:t>
      </w:r>
      <w:r w:rsidR="00864819">
        <w:rPr>
          <w:lang w:val="hr-HR"/>
        </w:rPr>
        <w:t xml:space="preserve">sveukupne površine 2643 m2, </w:t>
      </w:r>
      <w:r w:rsidR="00864819" w:rsidRPr="00FE2C65">
        <w:rPr>
          <w:b/>
          <w:lang w:val="hr-HR"/>
        </w:rPr>
        <w:t>utvrđene vrijednosti 602.200,00 kuna.</w:t>
      </w:r>
    </w:p>
    <w:p w:rsidRDefault="008F42F3" w:rsidP="005A6AF3" w:rsidR="008F42F3">
      <w:pPr>
        <w:ind w:left="360"/>
        <w:jc w:val="both"/>
        <w:rPr>
          <w:lang w:val="hr-HR"/>
        </w:rPr>
      </w:pPr>
      <w:r>
        <w:rPr>
          <w:lang w:val="hr-HR"/>
        </w:rPr>
        <w:tab/>
      </w:r>
      <w:r>
        <w:rPr>
          <w:lang w:val="hr-HR"/>
        </w:rPr>
        <w:tab/>
      </w:r>
    </w:p>
    <w:p w:rsidRDefault="008F42F3" w:rsidP="00BB28FE" w:rsidR="008F42F3">
      <w:pPr>
        <w:ind w:left="360"/>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Stečajni upravitelj:</w:t>
      </w:r>
    </w:p>
    <w:p w:rsidRDefault="008F42F3" w:rsidP="00CC3028" w:rsidR="00CC3028">
      <w:pPr>
        <w:ind w:left="360"/>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Nebojša Antolić</w:t>
      </w:r>
      <w:r w:rsidR="00CC3028">
        <w:rPr>
          <w:lang w:val="hr-HR"/>
        </w:rPr>
        <w:t>, odvjetnik</w:t>
      </w:r>
      <w:r w:rsidR="00BB28FE">
        <w:rPr>
          <w:lang w:val="hr-HR"/>
        </w:rPr>
        <w:t xml:space="preserve">  </w:t>
      </w:r>
      <w:r w:rsidR="006A4AC0">
        <w:rPr>
          <w:lang w:val="hr-HR"/>
        </w:rPr>
        <w:t xml:space="preserve"> </w:t>
      </w:r>
    </w:p>
    <w:p w:rsidRDefault="00CC3028" w:rsidP="00CC3028" w:rsidR="00CC3028">
      <w:pPr>
        <w:ind w:left="360"/>
        <w:jc w:val="both"/>
        <w:rPr>
          <w:lang w:val="hr-HR"/>
        </w:rPr>
      </w:pPr>
    </w:p>
    <w:p w:rsidRDefault="00CC3028" w:rsidP="00CC3028" w:rsidR="00CC3028">
      <w:pPr>
        <w:ind w:left="360"/>
        <w:jc w:val="both"/>
        <w:rPr>
          <w:lang w:val="hr-HR"/>
        </w:rPr>
      </w:pPr>
    </w:p>
    <w:p w:rsidRDefault="00CC3028" w:rsidP="00CC3028" w:rsidR="00CC3028">
      <w:pPr>
        <w:ind w:left="360"/>
        <w:jc w:val="both"/>
        <w:rPr>
          <w:lang w:val="hr-HR"/>
        </w:rPr>
      </w:pPr>
    </w:p>
    <w:p w:rsidRDefault="00CC3028" w:rsidP="00CC3028" w:rsidR="00CC3028">
      <w:pPr>
        <w:ind w:left="360"/>
        <w:jc w:val="both"/>
        <w:rPr>
          <w:lang w:val="hr-HR"/>
        </w:rPr>
      </w:pPr>
    </w:p>
    <w:p w:rsidRDefault="00CC3028" w:rsidP="00CC3028" w:rsidR="00CC3028">
      <w:pPr>
        <w:ind w:left="360"/>
        <w:jc w:val="both"/>
        <w:rPr>
          <w:lang w:val="hr-HR"/>
        </w:rPr>
      </w:pPr>
    </w:p>
    <w:p w:rsidRDefault="00CC3028" w:rsidP="00CC3028" w:rsidR="00CC3028">
      <w:pPr>
        <w:ind w:left="360"/>
        <w:jc w:val="both"/>
        <w:rPr>
          <w:lang w:val="hr-HR"/>
        </w:rPr>
      </w:pPr>
    </w:p>
    <w:p w:rsidRDefault="00CC3028" w:rsidP="00CC3028" w:rsidR="00CC3028">
      <w:pPr>
        <w:ind w:left="360"/>
        <w:jc w:val="both"/>
        <w:rPr>
          <w:lang w:val="hr-HR"/>
        </w:rPr>
      </w:pPr>
    </w:p>
    <w:p w:rsidRDefault="00CC3028" w:rsidP="00CC3028" w:rsidR="00CC3028">
      <w:pPr>
        <w:ind w:left="360"/>
        <w:jc w:val="both"/>
        <w:rPr>
          <w:lang w:val="hr-HR"/>
        </w:rPr>
      </w:pPr>
    </w:p>
    <w:p w:rsidRDefault="00D8418B" w:rsidP="00DF5755" w:rsidR="00D8418B" w:rsidRPr="00CC3028">
      <w:pPr>
        <w:jc w:val="both"/>
        <w:rPr>
          <w:lang w:val="hr-HR"/>
        </w:rPr>
      </w:pPr>
      <w:r w:rsidRPr="00D8418B">
        <w:rPr>
          <w:b/>
          <w:u w:val="single"/>
          <w:lang w:val="hr-HR"/>
        </w:rPr>
        <w:t>PRILOZI UZ IZVJEŠĆE</w:t>
      </w:r>
    </w:p>
    <w:p w:rsidRDefault="00D8418B" w:rsidP="00835973" w:rsidR="00D8418B">
      <w:pPr>
        <w:jc w:val="both"/>
        <w:rPr>
          <w:lang w:val="hr-HR"/>
        </w:rPr>
      </w:pPr>
    </w:p>
    <w:p w:rsidRDefault="005A6AF3" w:rsidP="00835973" w:rsidR="005A6AF3">
      <w:pPr>
        <w:jc w:val="both"/>
        <w:rPr>
          <w:lang w:val="hr-HR"/>
        </w:rPr>
      </w:pPr>
    </w:p>
    <w:p w:rsidRDefault="00864819" w:rsidP="00820999" w:rsidR="00820999" w:rsidRPr="00820999">
      <w:pPr>
        <w:numPr>
          <w:ilvl w:val="0"/>
          <w:numId w:val="4"/>
        </w:numPr>
        <w:jc w:val="both"/>
        <w:rPr>
          <w:lang w:val="hr-HR"/>
        </w:rPr>
      </w:pPr>
      <w:r>
        <w:rPr>
          <w:lang w:val="hr-HR"/>
        </w:rPr>
        <w:t>Izvadak iz zemljišne knjige Općinskog suda u Sisku zk.ul.br. 4935 k.o. Novi Sisak</w:t>
      </w:r>
    </w:p>
    <w:p w:rsidRDefault="00864819" w:rsidP="003E108B" w:rsidR="00DD55AE">
      <w:pPr>
        <w:numPr>
          <w:ilvl w:val="0"/>
          <w:numId w:val="4"/>
        </w:numPr>
        <w:jc w:val="both"/>
        <w:rPr>
          <w:lang w:val="hr-HR"/>
        </w:rPr>
      </w:pPr>
      <w:r>
        <w:rPr>
          <w:lang w:val="hr-HR"/>
        </w:rPr>
        <w:t>Izvadak iz zemljišne knjige Općinskog suda u Sisku zk.ul.br. 4936 k.o. Novi Sisak</w:t>
      </w:r>
    </w:p>
    <w:p w:rsidRDefault="00C629BF" w:rsidP="003E108B" w:rsidR="008D4C55">
      <w:pPr>
        <w:numPr>
          <w:ilvl w:val="0"/>
          <w:numId w:val="4"/>
        </w:numPr>
        <w:jc w:val="both"/>
        <w:rPr>
          <w:lang w:val="hr-HR"/>
        </w:rPr>
      </w:pPr>
      <w:r>
        <w:rPr>
          <w:lang w:val="hr-HR"/>
        </w:rPr>
        <w:t>Zaključak o prodaji Općinskog suda u Sisku Ovr-279/2016 od 17. ožujka 2017.g.</w:t>
      </w:r>
    </w:p>
    <w:p w:rsidRDefault="00D8418B" w:rsidP="00B32B7C" w:rsidR="00C629BF">
      <w:pPr>
        <w:numPr>
          <w:ilvl w:val="0"/>
          <w:numId w:val="4"/>
        </w:numPr>
        <w:jc w:val="both"/>
        <w:rPr>
          <w:lang w:val="hr-HR"/>
        </w:rPr>
      </w:pPr>
      <w:r>
        <w:rPr>
          <w:lang w:val="hr-HR"/>
        </w:rPr>
        <w:t>R</w:t>
      </w:r>
      <w:r w:rsidR="00C629BF">
        <w:rPr>
          <w:lang w:val="hr-HR"/>
        </w:rPr>
        <w:t>j</w:t>
      </w:r>
      <w:r>
        <w:rPr>
          <w:lang w:val="hr-HR"/>
        </w:rPr>
        <w:t>e</w:t>
      </w:r>
      <w:r w:rsidR="00C629BF">
        <w:rPr>
          <w:lang w:val="hr-HR"/>
        </w:rPr>
        <w:t>šenje o obustavi ovrhe Općinskog suda u Sisku Ovr-279/2016 od 09. svibnja 2017.g.</w:t>
      </w:r>
    </w:p>
    <w:p w:rsidRDefault="00C629BF" w:rsidP="00B32B7C" w:rsidR="00C629BF">
      <w:pPr>
        <w:numPr>
          <w:ilvl w:val="0"/>
          <w:numId w:val="4"/>
        </w:numPr>
        <w:jc w:val="both"/>
        <w:rPr>
          <w:lang w:val="hr-HR"/>
        </w:rPr>
      </w:pPr>
      <w:r>
        <w:rPr>
          <w:lang w:val="hr-HR"/>
        </w:rPr>
        <w:t>Rješenje o obustavi ovrhe Općinskog suda u Sisku Ovr-430/2014 od 01. Prosinca 2017.g.</w:t>
      </w:r>
    </w:p>
    <w:p w:rsidRDefault="00C629BF" w:rsidP="00B32B7C" w:rsidR="00C629BF">
      <w:pPr>
        <w:numPr>
          <w:ilvl w:val="0"/>
          <w:numId w:val="4"/>
        </w:numPr>
        <w:jc w:val="both"/>
        <w:rPr>
          <w:lang w:val="hr-HR"/>
        </w:rPr>
      </w:pPr>
      <w:r>
        <w:rPr>
          <w:lang w:val="hr-HR"/>
        </w:rPr>
        <w:t>Rješenje o ispravku Općinskog suda u Sisku Ovr-430/2014 od 15. Siječnja 2018.g.</w:t>
      </w:r>
    </w:p>
    <w:p w:rsidRDefault="00C26E75" w:rsidP="00E275F5" w:rsidR="00C26E75" w:rsidRPr="00E275F5">
      <w:pPr>
        <w:ind w:firstLine="360" w:left="360"/>
        <w:jc w:val="both"/>
        <w:rPr>
          <w:lang w:val="hr-HR"/>
        </w:rPr>
      </w:pPr>
    </w:p>
    <w:sectPr w:rsidR="00C26E75" w:rsidRPr="00E275F5">
      <w:pgSz w:h="15840" w:w="12240"/>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C560D"/>
    <w:multiLevelType w:val="hybridMultilevel"/>
    <w:tmpl w:val="E86037A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3112CEB"/>
    <w:multiLevelType w:val="hybridMultilevel"/>
    <w:tmpl w:val="07686F50"/>
    <w:lvl w:tplc="13FAB93E" w:ilvl="0">
      <w:start w:val="1"/>
      <w:numFmt w:val="decimal"/>
      <w:lvlText w:val="%1."/>
      <w:lvlJc w:val="left"/>
      <w:pPr>
        <w:ind w:hanging="360" w:left="720"/>
      </w:pPr>
      <w:rPr>
        <w:rFonts w:hint="default"/>
        <w:u w:val="singl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831582E"/>
    <w:multiLevelType w:val="hybridMultilevel"/>
    <w:tmpl w:val="FF5AB54C"/>
    <w:lvl w:tplc="5B7E6D5C" w:ilvl="0">
      <w:start w:val="2"/>
      <w:numFmt w:val="lowerLetter"/>
      <w:lvlText w:val="%1)"/>
      <w:lvlJc w:val="left"/>
      <w:pPr>
        <w:tabs>
          <w:tab w:pos="1155" w:val="num"/>
        </w:tabs>
        <w:ind w:hanging="435" w:left="1155"/>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1DD10463"/>
    <w:multiLevelType w:val="hybridMultilevel"/>
    <w:tmpl w:val="1EB677C6"/>
    <w:lvl w:tplc="CC0A3B1C"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F605DBA"/>
    <w:multiLevelType w:val="hybridMultilevel"/>
    <w:tmpl w:val="EDEE81D4"/>
    <w:lvl w:tplc="7CA2BE9C" w:ilvl="0">
      <w:numFmt w:val="bullet"/>
      <w:lvlText w:val="-"/>
      <w:lvlJc w:val="left"/>
      <w:pPr>
        <w:ind w:hanging="360" w:left="4680"/>
      </w:pPr>
      <w:rPr>
        <w:rFonts w:cs="Times New Roman" w:eastAsia="Times New Roman" w:hAnsi="Times New Roman" w:ascii="Times New Roman" w:hint="default"/>
      </w:rPr>
    </w:lvl>
    <w:lvl w:tentative="true" w:tplc="041A0003" w:ilvl="1">
      <w:start w:val="1"/>
      <w:numFmt w:val="bullet"/>
      <w:lvlText w:val="o"/>
      <w:lvlJc w:val="left"/>
      <w:pPr>
        <w:ind w:hanging="360" w:left="5400"/>
      </w:pPr>
      <w:rPr>
        <w:rFonts w:cs="Courier New" w:hAnsi="Courier New" w:ascii="Courier New" w:hint="default"/>
      </w:rPr>
    </w:lvl>
    <w:lvl w:tentative="true" w:tplc="041A0005" w:ilvl="2">
      <w:start w:val="1"/>
      <w:numFmt w:val="bullet"/>
      <w:lvlText w:val=""/>
      <w:lvlJc w:val="left"/>
      <w:pPr>
        <w:ind w:hanging="360" w:left="6120"/>
      </w:pPr>
      <w:rPr>
        <w:rFonts w:hAnsi="Wingdings" w:ascii="Wingdings" w:hint="default"/>
      </w:rPr>
    </w:lvl>
    <w:lvl w:tentative="true" w:tplc="041A0001" w:ilvl="3">
      <w:start w:val="1"/>
      <w:numFmt w:val="bullet"/>
      <w:lvlText w:val=""/>
      <w:lvlJc w:val="left"/>
      <w:pPr>
        <w:ind w:hanging="360" w:left="6840"/>
      </w:pPr>
      <w:rPr>
        <w:rFonts w:hAnsi="Symbol" w:ascii="Symbol" w:hint="default"/>
      </w:rPr>
    </w:lvl>
    <w:lvl w:tentative="true" w:tplc="041A0003" w:ilvl="4">
      <w:start w:val="1"/>
      <w:numFmt w:val="bullet"/>
      <w:lvlText w:val="o"/>
      <w:lvlJc w:val="left"/>
      <w:pPr>
        <w:ind w:hanging="360" w:left="7560"/>
      </w:pPr>
      <w:rPr>
        <w:rFonts w:cs="Courier New" w:hAnsi="Courier New" w:ascii="Courier New" w:hint="default"/>
      </w:rPr>
    </w:lvl>
    <w:lvl w:tentative="true" w:tplc="041A0005" w:ilvl="5">
      <w:start w:val="1"/>
      <w:numFmt w:val="bullet"/>
      <w:lvlText w:val=""/>
      <w:lvlJc w:val="left"/>
      <w:pPr>
        <w:ind w:hanging="360" w:left="8280"/>
      </w:pPr>
      <w:rPr>
        <w:rFonts w:hAnsi="Wingdings" w:ascii="Wingdings" w:hint="default"/>
      </w:rPr>
    </w:lvl>
    <w:lvl w:tentative="true" w:tplc="041A0001" w:ilvl="6">
      <w:start w:val="1"/>
      <w:numFmt w:val="bullet"/>
      <w:lvlText w:val=""/>
      <w:lvlJc w:val="left"/>
      <w:pPr>
        <w:ind w:hanging="360" w:left="9000"/>
      </w:pPr>
      <w:rPr>
        <w:rFonts w:hAnsi="Symbol" w:ascii="Symbol" w:hint="default"/>
      </w:rPr>
    </w:lvl>
    <w:lvl w:tentative="true" w:tplc="041A0003" w:ilvl="7">
      <w:start w:val="1"/>
      <w:numFmt w:val="bullet"/>
      <w:lvlText w:val="o"/>
      <w:lvlJc w:val="left"/>
      <w:pPr>
        <w:ind w:hanging="360" w:left="9720"/>
      </w:pPr>
      <w:rPr>
        <w:rFonts w:cs="Courier New" w:hAnsi="Courier New" w:ascii="Courier New" w:hint="default"/>
      </w:rPr>
    </w:lvl>
    <w:lvl w:tentative="true" w:tplc="041A0005" w:ilvl="8">
      <w:start w:val="1"/>
      <w:numFmt w:val="bullet"/>
      <w:lvlText w:val=""/>
      <w:lvlJc w:val="left"/>
      <w:pPr>
        <w:ind w:hanging="360" w:left="10440"/>
      </w:pPr>
      <w:rPr>
        <w:rFonts w:hAnsi="Wingdings" w:ascii="Wingdings" w:hint="default"/>
      </w:rPr>
    </w:lvl>
  </w:abstractNum>
  <w:abstractNum w:abstractNumId="5">
    <w:nsid w:val="27C277FC"/>
    <w:multiLevelType w:val="hybridMultilevel"/>
    <w:tmpl w:val="37F05778"/>
    <w:lvl w:tplc="F6BAE73E" w:ilvl="0">
      <w:start w:val="1"/>
      <w:numFmt w:val="decimal"/>
      <w:lvlText w:val="%1."/>
      <w:lvlJc w:val="left"/>
      <w:pPr>
        <w:tabs>
          <w:tab w:pos="720" w:val="num"/>
        </w:tabs>
        <w:ind w:hanging="360" w:left="720"/>
      </w:pPr>
      <w:rPr>
        <w:rFonts w:hint="default"/>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plc="271A89FA" w:ilvl="3">
      <w:start w:val="1"/>
      <w:numFmt w:val="upperRoman"/>
      <w:lvlText w:val="%4."/>
      <w:lvlJc w:val="left"/>
      <w:pPr>
        <w:tabs>
          <w:tab w:pos="3240" w:val="num"/>
        </w:tabs>
        <w:ind w:hanging="720" w:left="3240"/>
      </w:pPr>
      <w:rPr>
        <w:rFonts w:cs="Times New Roman" w:eastAsia="Times New Roman" w:hAnsi="Times New Roman" w:ascii="Times New Roman"/>
      </w:r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6BD34C3"/>
    <w:multiLevelType w:val="hybridMultilevel"/>
    <w:tmpl w:val="0FFEEC4C"/>
    <w:lvl w:tplc="A6CED616" w:ilvl="0">
      <w:start w:val="4"/>
      <w:numFmt w:val="decimal"/>
      <w:lvlText w:val="%1."/>
      <w:lvlJc w:val="left"/>
      <w:pPr>
        <w:tabs>
          <w:tab w:pos="1080" w:val="num"/>
        </w:tabs>
        <w:ind w:hanging="360" w:left="1080"/>
      </w:pPr>
      <w:rPr>
        <w:rFonts w:hint="default"/>
        <w:b/>
        <w:i w:val="false"/>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75548C8"/>
    <w:multiLevelType w:val="hybridMultilevel"/>
    <w:tmpl w:val="99F61C94"/>
    <w:lvl w:tplc="6E228D7E" w:ilvl="0">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abstractNum w:abstractNumId="8">
    <w:nsid w:val="47AF5A42"/>
    <w:multiLevelType w:val="hybridMultilevel"/>
    <w:tmpl w:val="F85EBB7E"/>
    <w:lvl w:tplc="5D5C1ACA" w:ilvl="0">
      <w:start w:val="2"/>
      <w:numFmt w:val="lowerLetter"/>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A184345"/>
    <w:multiLevelType w:val="hybridMultilevel"/>
    <w:tmpl w:val="CB2A8070"/>
    <w:lvl w:tplc="5070297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5DF127CE"/>
    <w:multiLevelType w:val="hybridMultilevel"/>
    <w:tmpl w:val="70A86A66"/>
    <w:lvl w:tplc="B774960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6534598C"/>
    <w:multiLevelType w:val="hybridMultilevel"/>
    <w:tmpl w:val="FD5C7904"/>
    <w:lvl w:tplc="F2DA5E18" w:ilvl="0">
      <w:start w:val="4"/>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4C33994"/>
    <w:multiLevelType w:val="hybridMultilevel"/>
    <w:tmpl w:val="C4C2F490"/>
    <w:lvl w:tplc="8E7EDEE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77110882"/>
    <w:multiLevelType w:val="hybridMultilevel"/>
    <w:tmpl w:val="84263C4C"/>
    <w:lvl w:tplc="46E2E33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4">
    <w:nsid w:val="7DE03C61"/>
    <w:multiLevelType w:val="hybridMultilevel"/>
    <w:tmpl w:val="3BF0AFD8"/>
    <w:lvl w:tplc="1D8865D0" w:ilvl="0">
      <w:start w:val="4"/>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3"/>
  </w:num>
  <w:num w:numId="2">
    <w:abstractNumId w:val="5"/>
  </w:num>
  <w:num w:numId="3">
    <w:abstractNumId w:val="9"/>
  </w:num>
  <w:num w:numId="4">
    <w:abstractNumId w:val="0"/>
  </w:num>
  <w:num w:numId="5">
    <w:abstractNumId w:val="13"/>
  </w:num>
  <w:num w:numId="6">
    <w:abstractNumId w:val="12"/>
  </w:num>
  <w:num w:numId="7">
    <w:abstractNumId w:val="2"/>
  </w:num>
  <w:num w:numId="8">
    <w:abstractNumId w:val="14"/>
  </w:num>
  <w:num w:numId="9">
    <w:abstractNumId w:val="10"/>
  </w:num>
  <w:num w:numId="10">
    <w:abstractNumId w:val="8"/>
  </w:num>
  <w:num w:numId="11">
    <w:abstractNumId w:val="6"/>
  </w:num>
  <w:num w:numId="12">
    <w:abstractNumId w:val="4"/>
  </w:num>
  <w:num w:numId="13">
    <w:abstractNumId w:val="11"/>
  </w:num>
  <w:num w:numId="14">
    <w:abstractNumId w:val="7"/>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F18"/>
    <w:rsid w:val="000024A3"/>
    <w:rsid w:val="000067A6"/>
    <w:rsid w:val="000169F1"/>
    <w:rsid w:val="00021ECE"/>
    <w:rsid w:val="00034AFB"/>
    <w:rsid w:val="00043EFC"/>
    <w:rsid w:val="00044DC9"/>
    <w:rsid w:val="00073929"/>
    <w:rsid w:val="00081873"/>
    <w:rsid w:val="000939C2"/>
    <w:rsid w:val="000A6794"/>
    <w:rsid w:val="000B0716"/>
    <w:rsid w:val="000C2B10"/>
    <w:rsid w:val="000C6732"/>
    <w:rsid w:val="000C79B1"/>
    <w:rsid w:val="000E5904"/>
    <w:rsid w:val="000E5CF7"/>
    <w:rsid w:val="000E701E"/>
    <w:rsid w:val="0010084C"/>
    <w:rsid w:val="00103C9F"/>
    <w:rsid w:val="00105728"/>
    <w:rsid w:val="001133BE"/>
    <w:rsid w:val="0012074B"/>
    <w:rsid w:val="00130F6B"/>
    <w:rsid w:val="00143C9F"/>
    <w:rsid w:val="00157A9F"/>
    <w:rsid w:val="0017549B"/>
    <w:rsid w:val="001A0849"/>
    <w:rsid w:val="001A42CA"/>
    <w:rsid w:val="001A6F4D"/>
    <w:rsid w:val="001B237F"/>
    <w:rsid w:val="001C2454"/>
    <w:rsid w:val="001E1B2B"/>
    <w:rsid w:val="001F790D"/>
    <w:rsid w:val="00201B2B"/>
    <w:rsid w:val="002225D5"/>
    <w:rsid w:val="0022373B"/>
    <w:rsid w:val="0023087E"/>
    <w:rsid w:val="0025303D"/>
    <w:rsid w:val="002663BF"/>
    <w:rsid w:val="002714A0"/>
    <w:rsid w:val="0027544D"/>
    <w:rsid w:val="00277B27"/>
    <w:rsid w:val="00282814"/>
    <w:rsid w:val="00284F18"/>
    <w:rsid w:val="00287535"/>
    <w:rsid w:val="0029242F"/>
    <w:rsid w:val="002A092E"/>
    <w:rsid w:val="002A7F83"/>
    <w:rsid w:val="002C37BD"/>
    <w:rsid w:val="002D3785"/>
    <w:rsid w:val="002F6DF2"/>
    <w:rsid w:val="00303D2C"/>
    <w:rsid w:val="00344F76"/>
    <w:rsid w:val="003469A3"/>
    <w:rsid w:val="00365DC0"/>
    <w:rsid w:val="00365E86"/>
    <w:rsid w:val="00380986"/>
    <w:rsid w:val="0038126F"/>
    <w:rsid w:val="00387924"/>
    <w:rsid w:val="00391A2C"/>
    <w:rsid w:val="003D0F52"/>
    <w:rsid w:val="003D1FD5"/>
    <w:rsid w:val="003E108B"/>
    <w:rsid w:val="00404F4A"/>
    <w:rsid w:val="00411FAF"/>
    <w:rsid w:val="0041694E"/>
    <w:rsid w:val="004248B9"/>
    <w:rsid w:val="0043440D"/>
    <w:rsid w:val="00441052"/>
    <w:rsid w:val="00470E79"/>
    <w:rsid w:val="0049659E"/>
    <w:rsid w:val="004A2BA9"/>
    <w:rsid w:val="004B3106"/>
    <w:rsid w:val="004E11D7"/>
    <w:rsid w:val="004E2F8F"/>
    <w:rsid w:val="00511743"/>
    <w:rsid w:val="00520927"/>
    <w:rsid w:val="00530825"/>
    <w:rsid w:val="005325FF"/>
    <w:rsid w:val="0053618C"/>
    <w:rsid w:val="0054189E"/>
    <w:rsid w:val="00551C46"/>
    <w:rsid w:val="00580CAC"/>
    <w:rsid w:val="00582380"/>
    <w:rsid w:val="00595F56"/>
    <w:rsid w:val="005A06BD"/>
    <w:rsid w:val="005A11E2"/>
    <w:rsid w:val="005A3CD9"/>
    <w:rsid w:val="005A6AF3"/>
    <w:rsid w:val="005B31A1"/>
    <w:rsid w:val="005C30B4"/>
    <w:rsid w:val="005C74FD"/>
    <w:rsid w:val="005D761E"/>
    <w:rsid w:val="005F2B3E"/>
    <w:rsid w:val="005F2D5C"/>
    <w:rsid w:val="005F4DE8"/>
    <w:rsid w:val="0063140F"/>
    <w:rsid w:val="00636B18"/>
    <w:rsid w:val="00696D06"/>
    <w:rsid w:val="006A4AC0"/>
    <w:rsid w:val="006B2D8C"/>
    <w:rsid w:val="006B5DE3"/>
    <w:rsid w:val="006D51D8"/>
    <w:rsid w:val="006F2434"/>
    <w:rsid w:val="00727C49"/>
    <w:rsid w:val="007343DE"/>
    <w:rsid w:val="00743B1B"/>
    <w:rsid w:val="00744C27"/>
    <w:rsid w:val="00764005"/>
    <w:rsid w:val="00796617"/>
    <w:rsid w:val="00796F82"/>
    <w:rsid w:val="00796FC6"/>
    <w:rsid w:val="007A63D0"/>
    <w:rsid w:val="007B5BC6"/>
    <w:rsid w:val="007D0C53"/>
    <w:rsid w:val="007D58ED"/>
    <w:rsid w:val="007D5BF0"/>
    <w:rsid w:val="007F0388"/>
    <w:rsid w:val="008017B5"/>
    <w:rsid w:val="00802911"/>
    <w:rsid w:val="0080349B"/>
    <w:rsid w:val="00805DE2"/>
    <w:rsid w:val="00810D5F"/>
    <w:rsid w:val="00820999"/>
    <w:rsid w:val="0082587A"/>
    <w:rsid w:val="00835973"/>
    <w:rsid w:val="0084606E"/>
    <w:rsid w:val="008611AB"/>
    <w:rsid w:val="008619D7"/>
    <w:rsid w:val="00864819"/>
    <w:rsid w:val="00893DAF"/>
    <w:rsid w:val="008B3D9B"/>
    <w:rsid w:val="008C03EA"/>
    <w:rsid w:val="008C6B7B"/>
    <w:rsid w:val="008D4C55"/>
    <w:rsid w:val="008E1D16"/>
    <w:rsid w:val="008F341E"/>
    <w:rsid w:val="008F42F3"/>
    <w:rsid w:val="00917C4A"/>
    <w:rsid w:val="009308C7"/>
    <w:rsid w:val="00940534"/>
    <w:rsid w:val="00940F01"/>
    <w:rsid w:val="00950295"/>
    <w:rsid w:val="00950A31"/>
    <w:rsid w:val="00970B48"/>
    <w:rsid w:val="009734C6"/>
    <w:rsid w:val="0098264A"/>
    <w:rsid w:val="00986D1B"/>
    <w:rsid w:val="009D041A"/>
    <w:rsid w:val="009E639A"/>
    <w:rsid w:val="00A01057"/>
    <w:rsid w:val="00A11981"/>
    <w:rsid w:val="00A4060F"/>
    <w:rsid w:val="00A55A38"/>
    <w:rsid w:val="00A566BD"/>
    <w:rsid w:val="00A56D31"/>
    <w:rsid w:val="00A643E9"/>
    <w:rsid w:val="00A73C37"/>
    <w:rsid w:val="00A76E3E"/>
    <w:rsid w:val="00A91803"/>
    <w:rsid w:val="00A97607"/>
    <w:rsid w:val="00AA0B54"/>
    <w:rsid w:val="00AA5B4D"/>
    <w:rsid w:val="00AB0223"/>
    <w:rsid w:val="00AD1757"/>
    <w:rsid w:val="00AF4771"/>
    <w:rsid w:val="00B25F33"/>
    <w:rsid w:val="00B30FE3"/>
    <w:rsid w:val="00B311BB"/>
    <w:rsid w:val="00B32B7C"/>
    <w:rsid w:val="00B34E6D"/>
    <w:rsid w:val="00B50006"/>
    <w:rsid w:val="00B60DD3"/>
    <w:rsid w:val="00B675D8"/>
    <w:rsid w:val="00B85AA8"/>
    <w:rsid w:val="00BA0763"/>
    <w:rsid w:val="00BA15C6"/>
    <w:rsid w:val="00BA5CC8"/>
    <w:rsid w:val="00BB28FE"/>
    <w:rsid w:val="00BC60BB"/>
    <w:rsid w:val="00BD02A6"/>
    <w:rsid w:val="00BF0913"/>
    <w:rsid w:val="00C15CA2"/>
    <w:rsid w:val="00C21194"/>
    <w:rsid w:val="00C246F6"/>
    <w:rsid w:val="00C26E75"/>
    <w:rsid w:val="00C27B38"/>
    <w:rsid w:val="00C544EB"/>
    <w:rsid w:val="00C629BF"/>
    <w:rsid w:val="00C90D84"/>
    <w:rsid w:val="00CC3028"/>
    <w:rsid w:val="00D03E3D"/>
    <w:rsid w:val="00D13F6B"/>
    <w:rsid w:val="00D15DC8"/>
    <w:rsid w:val="00D232F2"/>
    <w:rsid w:val="00D3059D"/>
    <w:rsid w:val="00D519ED"/>
    <w:rsid w:val="00D574DB"/>
    <w:rsid w:val="00D8418B"/>
    <w:rsid w:val="00D8535A"/>
    <w:rsid w:val="00D90EAD"/>
    <w:rsid w:val="00DB1948"/>
    <w:rsid w:val="00DB38EB"/>
    <w:rsid w:val="00DC124E"/>
    <w:rsid w:val="00DC1526"/>
    <w:rsid w:val="00DD55AE"/>
    <w:rsid w:val="00DF5755"/>
    <w:rsid w:val="00E037B5"/>
    <w:rsid w:val="00E067E6"/>
    <w:rsid w:val="00E148B9"/>
    <w:rsid w:val="00E275F5"/>
    <w:rsid w:val="00E3791A"/>
    <w:rsid w:val="00E43B08"/>
    <w:rsid w:val="00E543B8"/>
    <w:rsid w:val="00E57968"/>
    <w:rsid w:val="00E6763E"/>
    <w:rsid w:val="00E71E4F"/>
    <w:rsid w:val="00E7478A"/>
    <w:rsid w:val="00E773E2"/>
    <w:rsid w:val="00EB09B0"/>
    <w:rsid w:val="00EC3A6E"/>
    <w:rsid w:val="00ED4311"/>
    <w:rsid w:val="00F1644C"/>
    <w:rsid w:val="00F20A99"/>
    <w:rsid w:val="00F4562D"/>
    <w:rsid w:val="00F527B2"/>
    <w:rsid w:val="00F71D4C"/>
    <w:rsid w:val="00F83CD9"/>
    <w:rsid w:val="00FC65F3"/>
    <w:rsid w:val="00FD391D"/>
    <w:rsid w:val="00FD6577"/>
    <w:rsid w:val="00FE0DE9"/>
    <w:rsid w:val="00FE2C65"/>
    <w:rsid w:val="00FE374B"/>
    <w:rsid w:val="00FF5D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90EAD"/>
    <w:rPr>
      <w:rFonts w:cs="Tahoma" w:hAnsi="Tahoma" w:ascii="Tahoma"/>
      <w:sz w:val="16"/>
      <w:szCs w:val="16"/>
    </w:rPr>
  </w:style>
  <w:style w:styleId="Odlomakpopisa" w:type="paragraph">
    <w:name w:val="List Paragraph"/>
    <w:basedOn w:val="Normal"/>
    <w:uiPriority w:val="34"/>
    <w:qFormat/>
    <w:rsid w:val="00B32B7C"/>
    <w:pPr>
      <w:ind w:left="708"/>
    </w:pPr>
  </w:style>
  <w:style w:styleId="Tekstrezerviranogmjesta" w:type="character">
    <w:name w:val="Placeholder Text"/>
    <w:basedOn w:val="Zadanifontodlomka"/>
    <w:uiPriority w:val="99"/>
    <w:semiHidden/>
    <w:rsid w:val="0022373B"/>
    <w:rPr>
      <w:color w:val="808080"/>
      <w:bdr w:space="0" w:sz="0" w:color="auto" w:val="none"/>
      <w:shd w:fill="auto" w:color="auto" w:val="clear"/>
    </w:rPr>
  </w:style>
  <w:style w:customStyle="true" w:styleId="eSPISCCParagraphDefaultFont" w:type="character">
    <w:name w:val="eSPIS_CC_Paragraph Default Font"/>
    <w:basedOn w:val="Zadanifontodlomka"/>
    <w:rsid w:val="0022373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2373B"/>
    <w:rPr>
      <w:b/>
      <w:bdr w:space="0" w:sz="0" w:color="auto" w:val="none"/>
      <w:shd w:fill="FFFFCC" w:color="auto" w:val="clear"/>
      <w:lang w:val="hr-HR"/>
    </w:rPr>
  </w:style>
  <w:style w:customStyle="true" w:styleId="PozadinaSvijetloCrvena" w:type="character">
    <w:name w:val="Pozadina_SvijetloCrvena"/>
    <w:basedOn w:val="eSPISCCParagraphDefaultFont"/>
    <w:rsid w:val="0022373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2373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90EAD"/>
    <w:rPr>
      <w:rFonts w:ascii="Tahoma" w:cs="Tahoma" w:hAnsi="Tahoma"/>
      <w:sz w:val="16"/>
      <w:szCs w:val="16"/>
    </w:rPr>
  </w:style>
  <w:style w:styleId="Odlomakpopisa" w:type="paragraph">
    <w:name w:val="List Paragraph"/>
    <w:basedOn w:val="Normal"/>
    <w:uiPriority w:val="34"/>
    <w:qFormat/>
    <w:rsid w:val="00B32B7C"/>
    <w:pPr>
      <w:ind w:left="708"/>
    </w:pPr>
  </w:style>
  <w:style w:styleId="Tekstrezerviranogmjesta" w:type="character">
    <w:name w:val="Placeholder Text"/>
    <w:basedOn w:val="Zadanifontodlomka"/>
    <w:uiPriority w:val="99"/>
    <w:semiHidden/>
    <w:rsid w:val="0022373B"/>
    <w:rPr>
      <w:color w:val="808080"/>
      <w:bdr w:color="auto" w:space="0" w:sz="0" w:val="none"/>
      <w:shd w:color="auto" w:fill="auto" w:val="clear"/>
    </w:rPr>
  </w:style>
  <w:style w:customStyle="1" w:styleId="eSPISCCParagraphDefaultFont" w:type="character">
    <w:name w:val="eSPIS_CC_Paragraph Default Font"/>
    <w:basedOn w:val="Zadanifontodlomka"/>
    <w:rsid w:val="0022373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2373B"/>
    <w:rPr>
      <w:b/>
      <w:bdr w:color="auto" w:space="0" w:sz="0" w:val="none"/>
      <w:shd w:color="auto" w:fill="FFFFCC" w:val="clear"/>
      <w:lang w:val="hr-HR"/>
    </w:rPr>
  </w:style>
  <w:style w:customStyle="1" w:styleId="PozadinaSvijetloCrvena" w:type="character">
    <w:name w:val="Pozadina_SvijetloCrvena"/>
    <w:basedOn w:val="eSPISCCParagraphDefaultFont"/>
    <w:rsid w:val="0022373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2373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910CDE-C671-4D39-AD77-97164CD6D2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KUTRILIN</properties:Company>
  <properties:Pages>3</properties:Pages>
  <properties:Words>948</properties:Words>
  <properties:Characters>5382</properties:Characters>
  <properties:Lines>119</properties:Lines>
  <properties:Paragraphs>33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NEBOJŠA ANTOLIĆ</vt:lpstr>
      <vt:lpstr>NEBOJŠA ANTOLIĆ</vt:lpstr>
    </vt:vector>
  </properties:TitlesOfParts>
  <properties:LinksUpToDate>false</properties:LinksUpToDate>
  <properties:CharactersWithSpaces>6372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2018-03-16T07:00:00Z</dcterms:created>
  <dc:creator>BISERKA</dc:creator>
  <cp:lastModifiedBy>Ivana Stampf</cp:lastModifiedBy>
  <cp:lastPrinted>2018-03-13T08:31:00Z</cp:lastPrinted>
  <dcterms:modified xmlns:xsi="http://www.w3.org/2001/XMLSchema-instance" xsi:type="dcterms:W3CDTF">2018-03-16T07:03:00Z</dcterms:modified>
  <cp:revision>3</cp:revision>
  <dc:title>NEBOJŠA ANTOLIĆ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St-1121/2014-34 / Podnesak - Izvješće stečajnog upravitelja (ROBAK-NEKRETNINE.prijedlog čl. 247SZ.docx)</vt:lpwstr>
  </prop:property>
  <prop:property name="CC_coloring" pid="4" fmtid="{D5CDD505-2E9C-101B-9397-08002B2CF9AE}">
    <vt:bool>false</vt:bool>
  </prop:property>
  <prop:property name="BrojStranica" pid="5" fmtid="{D5CDD505-2E9C-101B-9397-08002B2CF9AE}">
    <vt:i4>3</vt:i4>
  </prop:property>
</prop:Properties>
</file>