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29608" w14:paraId="e129608" w:rsidRDefault="0092730C" w:rsidR="00657EC3">
      <w:pPr>
        <w:spacing w:after="0"/>
        <w:jc w:val="both"/>
        <w15:collapsed w:val="false"/>
        <w:rPr>
          <w:rFonts w:hAnsi="Times New Roman" w:ascii="Times New Roman"/>
          <w:b/>
          <w:bCs/>
          <w:lang w:val="pl-PL"/>
        </w:rPr>
      </w:pPr>
      <w:bookmarkStart w:name="_GoBack" w:id="0"/>
      <w:bookmarkEnd w:id="0"/>
      <w:r>
        <w:rPr>
          <w:rFonts w:hAnsi="Times New Roman" w:ascii="Times New Roman"/>
          <w:b/>
          <w:bCs/>
          <w:lang w:val="pl-PL"/>
        </w:rPr>
        <w:t>Nadle</w:t>
      </w:r>
      <w:r>
        <w:rPr>
          <w:rFonts w:hAnsi="Times New Roman" w:ascii="Times New Roman"/>
          <w:b/>
          <w:bCs/>
        </w:rPr>
        <w:t>ž</w:t>
      </w:r>
      <w:r>
        <w:rPr>
          <w:rFonts w:hAnsi="Times New Roman" w:ascii="Times New Roman"/>
          <w:b/>
          <w:bCs/>
          <w:lang w:val="pl-PL"/>
        </w:rPr>
        <w:t>ni</w:t>
      </w:r>
      <w:r>
        <w:rPr>
          <w:rFonts w:hAnsi="Times New Roman" w:ascii="Times New Roman"/>
          <w:b/>
          <w:bCs/>
        </w:rPr>
        <w:t xml:space="preserve"> </w:t>
      </w:r>
      <w:r>
        <w:rPr>
          <w:rFonts w:hAnsi="Times New Roman" w:ascii="Times New Roman"/>
          <w:b/>
          <w:bCs/>
          <w:lang w:val="pl-PL"/>
        </w:rPr>
        <w:t>trgova</w:t>
      </w:r>
      <w:r>
        <w:rPr>
          <w:rFonts w:hAnsi="Times New Roman" w:ascii="Times New Roman"/>
          <w:b/>
          <w:bCs/>
        </w:rPr>
        <w:t>č</w:t>
      </w:r>
      <w:r>
        <w:rPr>
          <w:rFonts w:hAnsi="Times New Roman" w:ascii="Times New Roman"/>
          <w:b/>
          <w:bCs/>
          <w:lang w:val="pl-PL"/>
        </w:rPr>
        <w:t>ki</w:t>
      </w:r>
      <w:r>
        <w:rPr>
          <w:rFonts w:hAnsi="Times New Roman" w:ascii="Times New Roman"/>
          <w:b/>
          <w:bCs/>
        </w:rPr>
        <w:t xml:space="preserve"> </w:t>
      </w:r>
      <w:r>
        <w:rPr>
          <w:rFonts w:hAnsi="Times New Roman" w:ascii="Times New Roman"/>
          <w:b/>
          <w:bCs/>
          <w:lang w:val="pl-PL"/>
        </w:rPr>
        <w:t>sud:</w:t>
      </w:r>
      <w:r>
        <w:rPr>
          <w:rFonts w:hAnsi="Times New Roman" w:ascii="Times New Roman"/>
          <w:b/>
          <w:bCs/>
        </w:rPr>
        <w:t xml:space="preserve"> </w:t>
      </w:r>
      <w:r>
        <w:rPr>
          <w:rFonts w:hAnsi="Times New Roman" w:ascii="Times New Roman"/>
          <w:b/>
          <w:bCs/>
        </w:rPr>
        <w:tab/>
        <w:t>TRGOVAČKI SUD U VARAŽDINU</w:t>
      </w:r>
    </w:p>
    <w:p w:rsidRDefault="0092730C" w:rsidR="00657EC3">
      <w:pPr>
        <w:spacing w:after="0"/>
        <w:jc w:val="both"/>
        <w:rPr>
          <w:rFonts w:hAnsi="Times New Roman" w:ascii="Times New Roman"/>
          <w:b/>
          <w:bCs/>
          <w:lang w:val="pl-PL"/>
        </w:rPr>
      </w:pPr>
      <w:r>
        <w:rPr>
          <w:rFonts w:hAnsi="Times New Roman" w:ascii="Times New Roman"/>
          <w:b/>
          <w:bCs/>
          <w:lang w:val="pl-PL"/>
        </w:rPr>
        <w:t xml:space="preserve">Poslovni broj spisa: </w:t>
      </w:r>
      <w:r>
        <w:rPr>
          <w:rFonts w:hAnsi="Times New Roman" w:ascii="Times New Roman"/>
          <w:b/>
          <w:bCs/>
          <w:lang w:val="pl-PL"/>
        </w:rPr>
        <w:tab/>
      </w:r>
      <w:r>
        <w:rPr>
          <w:rFonts w:hAnsi="Times New Roman" w:ascii="Times New Roman"/>
          <w:b/>
          <w:bCs/>
          <w:lang w:val="pl-PL"/>
        </w:rPr>
        <w:tab/>
        <w:t>St-597/16</w:t>
      </w:r>
    </w:p>
    <w:p w:rsidRDefault="0092730C" w:rsidR="00657EC3">
      <w:pPr>
        <w:pBdr>
          <w:top w:space="0" w:sz="0" w:color="000000" w:val="none"/>
          <w:left w:space="0" w:sz="0" w:color="000000" w:val="none"/>
          <w:bottom w:space="2" w:sz="8" w:color="000001" w:val="single"/>
          <w:right w:space="0" w:sz="0" w:color="000000" w:val="none"/>
        </w:pBdr>
        <w:spacing w:after="0"/>
        <w:rPr>
          <w:rFonts w:hAnsi="Times New Roman" w:ascii="Times New Roman"/>
          <w:b/>
          <w:bCs/>
          <w:lang w:val="pl-PL"/>
        </w:rPr>
      </w:pPr>
      <w:r>
        <w:rPr>
          <w:rFonts w:hAnsi="Times New Roman" w:ascii="Times New Roman"/>
          <w:b/>
          <w:bCs/>
          <w:lang w:val="pl-PL"/>
        </w:rPr>
        <w:t xml:space="preserve">Dužnik: </w:t>
      </w:r>
      <w:r>
        <w:rPr>
          <w:rFonts w:hAnsi="Times New Roman" w:ascii="Times New Roman"/>
          <w:b/>
          <w:bCs/>
          <w:lang w:val="pl-PL"/>
        </w:rPr>
        <w:tab/>
      </w:r>
      <w:r>
        <w:rPr>
          <w:rFonts w:hAnsi="Times New Roman" w:ascii="Times New Roman"/>
          <w:b/>
          <w:bCs/>
          <w:lang w:val="pl-PL"/>
        </w:rPr>
        <w:tab/>
      </w:r>
      <w:r>
        <w:rPr>
          <w:rFonts w:hAnsi="Times New Roman" w:ascii="Times New Roman"/>
          <w:b/>
          <w:bCs/>
          <w:lang w:val="pl-PL"/>
        </w:rPr>
        <w:tab/>
        <w:t xml:space="preserve">ART ing d.o.o. u stečaju, OIB: 64831303834, </w:t>
      </w:r>
    </w:p>
    <w:p w:rsidRDefault="0092730C" w:rsidR="00657EC3">
      <w:pPr>
        <w:pBdr>
          <w:top w:space="0" w:sz="0" w:color="000000" w:val="none"/>
          <w:left w:space="0" w:sz="0" w:color="000000" w:val="none"/>
          <w:bottom w:space="2" w:sz="8" w:color="000001" w:val="single"/>
          <w:right w:space="0" w:sz="0" w:color="000000" w:val="none"/>
        </w:pBdr>
        <w:spacing w:after="0"/>
        <w:rPr>
          <w:rFonts w:hAnsi="Times New Roman" w:ascii="Times New Roman"/>
          <w:b/>
          <w:bCs/>
          <w:lang w:val="pl-PL"/>
        </w:rPr>
      </w:pPr>
      <w:r>
        <w:rPr>
          <w:rFonts w:hAnsi="Times New Roman" w:ascii="Times New Roman"/>
          <w:b/>
          <w:bCs/>
          <w:lang w:val="pl-PL"/>
        </w:rPr>
        <w:tab/>
      </w:r>
      <w:r>
        <w:rPr>
          <w:rFonts w:hAnsi="Times New Roman" w:ascii="Times New Roman"/>
          <w:b/>
          <w:bCs/>
          <w:lang w:val="pl-PL"/>
        </w:rPr>
        <w:tab/>
      </w:r>
      <w:r>
        <w:rPr>
          <w:rFonts w:hAnsi="Times New Roman" w:ascii="Times New Roman"/>
          <w:b/>
          <w:bCs/>
          <w:lang w:val="pl-PL"/>
        </w:rPr>
        <w:tab/>
      </w:r>
      <w:r>
        <w:rPr>
          <w:rFonts w:hAnsi="Times New Roman" w:ascii="Times New Roman"/>
          <w:b/>
          <w:bCs/>
          <w:lang w:val="pl-PL"/>
        </w:rPr>
        <w:tab/>
        <w:t>Stjepana Radića 24, Čakovec</w:t>
      </w:r>
    </w:p>
    <w:p w:rsidRDefault="00657EC3" w:rsidR="00657EC3">
      <w:pPr>
        <w:spacing w:after="0"/>
        <w:rPr>
          <w:rFonts w:hAnsi="Times New Roman" w:ascii="Times New Roman"/>
          <w:b/>
          <w:bCs/>
          <w:lang w:val="pl-PL"/>
        </w:rPr>
      </w:pPr>
    </w:p>
    <w:p w:rsidRDefault="00657EC3" w:rsidR="00657EC3">
      <w:pPr>
        <w:spacing w:after="0"/>
        <w:jc w:val="center"/>
        <w:rPr>
          <w:rFonts w:hAnsi="Times New Roman" w:ascii="Times New Roman"/>
          <w:b/>
          <w:bCs/>
          <w:lang w:val="pl-PL"/>
        </w:rPr>
      </w:pPr>
    </w:p>
    <w:p w:rsidRDefault="00657EC3" w:rsidR="00657EC3">
      <w:pPr>
        <w:spacing w:after="0"/>
        <w:jc w:val="center"/>
        <w:rPr>
          <w:rFonts w:hAnsi="Times New Roman" w:ascii="Times New Roman"/>
          <w:b/>
          <w:bCs/>
          <w:lang w:val="pl-PL"/>
        </w:rPr>
      </w:pPr>
    </w:p>
    <w:p w:rsidRDefault="0092730C" w:rsidR="00657EC3">
      <w:pPr>
        <w:spacing w:after="0"/>
        <w:jc w:val="center"/>
        <w:rPr>
          <w:rFonts w:hAnsi="Times New Roman" w:ascii="Times New Roman"/>
          <w:b/>
          <w:bCs/>
          <w:sz w:val="28"/>
          <w:szCs w:val="28"/>
          <w:lang w:val="pl-PL"/>
        </w:rPr>
      </w:pPr>
      <w:r>
        <w:rPr>
          <w:rFonts w:hAnsi="Times New Roman" w:ascii="Times New Roman"/>
          <w:b/>
          <w:bCs/>
          <w:sz w:val="28"/>
          <w:szCs w:val="28"/>
          <w:lang w:val="pl-PL"/>
        </w:rPr>
        <w:t xml:space="preserve">IZVJEŠĆE STEČAJNOG UPRAVITELJA </w:t>
      </w:r>
    </w:p>
    <w:p w:rsidRDefault="0092730C" w:rsidR="00657EC3">
      <w:pPr>
        <w:spacing w:after="0"/>
        <w:jc w:val="center"/>
        <w:rPr>
          <w:rFonts w:hAnsi="Times New Roman" w:ascii="Times New Roman"/>
          <w:b/>
          <w:bCs/>
          <w:lang w:val="pl-PL"/>
        </w:rPr>
      </w:pPr>
      <w:r>
        <w:rPr>
          <w:rFonts w:hAnsi="Times New Roman" w:ascii="Times New Roman"/>
          <w:b/>
          <w:bCs/>
          <w:sz w:val="28"/>
          <w:szCs w:val="28"/>
          <w:lang w:val="pl-PL"/>
        </w:rPr>
        <w:t>O GOSPODARSKOM POLOŽAJU STEČAJNOG DUŽNIKA</w:t>
      </w:r>
    </w:p>
    <w:p w:rsidRDefault="00657EC3" w:rsidR="00657EC3">
      <w:pPr>
        <w:spacing w:after="0"/>
        <w:rPr>
          <w:rFonts w:hAnsi="Times New Roman" w:ascii="Times New Roman"/>
          <w:b/>
          <w:bCs/>
          <w:lang w:val="pl-PL"/>
        </w:rPr>
      </w:pPr>
    </w:p>
    <w:p w:rsidRDefault="00657EC3" w:rsidR="00657EC3">
      <w:pPr>
        <w:spacing w:after="0"/>
        <w:rPr>
          <w:rFonts w:hAnsi="Times New Roman" w:ascii="Times New Roman"/>
          <w:b/>
          <w:bCs/>
          <w:lang w:val="pl-PL"/>
        </w:rPr>
      </w:pPr>
    </w:p>
    <w:p w:rsidRDefault="00657EC3" w:rsidR="00657EC3">
      <w:pPr>
        <w:spacing w:after="0"/>
        <w:rPr>
          <w:rFonts w:hAnsi="Times New Roman" w:ascii="Times New Roman"/>
          <w:b/>
          <w:bCs/>
          <w:lang w:val="pl-PL"/>
        </w:rPr>
      </w:pPr>
    </w:p>
    <w:p w:rsidRDefault="00657EC3" w:rsidR="00657EC3">
      <w:pPr>
        <w:spacing w:after="0"/>
        <w:rPr>
          <w:rFonts w:hAnsi="Times New Roman" w:ascii="Times New Roman"/>
          <w:b/>
          <w:bCs/>
          <w:lang w:val="pl-PL"/>
        </w:rPr>
      </w:pPr>
    </w:p>
    <w:p w:rsidRDefault="0092730C" w:rsidR="00657EC3">
      <w:pPr>
        <w:spacing w:after="0"/>
        <w:rPr>
          <w:rFonts w:hAnsi="Times New Roman" w:ascii="Times New Roman"/>
          <w:b/>
          <w:bCs/>
          <w:lang w:val="pl-PL"/>
        </w:rPr>
      </w:pPr>
      <w:r>
        <w:rPr>
          <w:rFonts w:hAnsi="Times New Roman" w:ascii="Times New Roman"/>
          <w:b/>
          <w:bCs/>
          <w:lang w:val="pl-PL"/>
        </w:rPr>
        <w:t>1. Uvodni dio</w:t>
      </w:r>
    </w:p>
    <w:p w:rsidRDefault="00657EC3" w:rsidR="00657EC3">
      <w:pPr>
        <w:spacing w:after="0"/>
        <w:rPr>
          <w:rFonts w:hAnsi="Times New Roman" w:ascii="Times New Roman"/>
          <w:b/>
          <w:bCs/>
          <w:lang w:val="pl-PL"/>
        </w:rPr>
      </w:pPr>
    </w:p>
    <w:p w:rsidRDefault="0092730C" w:rsidR="00657EC3">
      <w:pPr>
        <w:spacing w:after="0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Rješenjem Trgovačkog suda u Varaždinu broj 4 St-597/16-16 od 05. prosinca 2016. godine, nad dužnikom ART ing d.o.o., Čakovec, Stjepana Radića 24, otvoren je stečajni postupak. </w:t>
      </w:r>
    </w:p>
    <w:p w:rsidRDefault="00657EC3" w:rsidR="00657EC3">
      <w:pPr>
        <w:spacing w:after="0"/>
        <w:rPr>
          <w:rFonts w:hAnsi="Times New Roman" w:ascii="Times New Roman"/>
          <w:lang w:val="pl-PL"/>
        </w:rPr>
      </w:pPr>
    </w:p>
    <w:p w:rsidRDefault="0092730C" w:rsidR="00657EC3">
      <w:pPr>
        <w:spacing w:after="0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Prijedlog za otvaranje stečajnog postupka podnijela je Financijska agencija, budući je dužnik na dan 01.09.2015. godine imao evidentirane neizvršene osnove za plaćanje u ukupnom iznosu od 122.624,92 kn u neprekinutom razdoblju od 460 dana, iz čega proizlazi kao stečajni razlog – nesposobnost za plaćanje.</w:t>
      </w:r>
    </w:p>
    <w:p w:rsidRDefault="00657EC3" w:rsidR="00657EC3">
      <w:pPr>
        <w:spacing w:after="0"/>
        <w:rPr>
          <w:rFonts w:hAnsi="Times New Roman" w:ascii="Times New Roman"/>
          <w:lang w:val="pl-PL"/>
        </w:rPr>
      </w:pPr>
    </w:p>
    <w:p w:rsidRDefault="0092730C" w:rsidR="00657EC3">
      <w:pPr>
        <w:spacing w:after="0"/>
        <w:rPr>
          <w:rFonts w:hAnsi="Times New Roman" w:ascii="Times New Roman"/>
          <w:lang w:val="pl-PL"/>
        </w:rPr>
      </w:pPr>
      <w:r>
        <w:rPr>
          <w:rFonts w:hAnsi="Times New Roman" w:ascii="Times New Roman"/>
          <w:color w:val="000000"/>
          <w:lang w:val="pl-PL"/>
        </w:rPr>
        <w:t>Stečajni dužnik osnovan je Izjavom o osnivanju društva s ograničenom odgovornošću od 15.09.2004. godine, a osnovna djelatnost mu je bila građenje, projektiranje i nadzor nad gradnjom.</w:t>
      </w:r>
    </w:p>
    <w:p w:rsidRDefault="00657EC3" w:rsidR="00657EC3">
      <w:pPr>
        <w:spacing w:after="0"/>
        <w:rPr>
          <w:rFonts w:hAnsi="Times New Roman" w:ascii="Times New Roman"/>
          <w:lang w:val="pl-PL"/>
        </w:rPr>
      </w:pPr>
    </w:p>
    <w:p w:rsidRDefault="0092730C" w:rsidR="00657EC3">
      <w:pPr>
        <w:spacing w:after="0"/>
        <w:rPr>
          <w:rFonts w:hAnsi="Times New Roman" w:ascii="Times New Roman"/>
          <w:lang w:val="pl-PL"/>
        </w:rPr>
      </w:pPr>
      <w:r>
        <w:rPr>
          <w:rFonts w:hAnsi="Times New Roman" w:ascii="Times New Roman"/>
          <w:color w:val="000000"/>
          <w:lang w:val="pl-PL"/>
        </w:rPr>
        <w:t xml:space="preserve">Stečajni dužnik prestao je s obavljanjem osnovne djelatnosti 2013. godine. Na dan otvaranja stečajnog postupka u društvu nije bilo zaposlenih radnika niti dostupne evidencije o postojanju potraživanja iz radnih odnosa. Poslovne knjige stečajnog dužnika nisu bile vođene u skladu sa Zakonom o računovodstvu, a posljednje financijsko izvješće predano je za 2012. godinu. Nastavak poslovanja dužnika nije moguć.                                                                                                                                                                                                                       </w:t>
      </w:r>
    </w:p>
    <w:p w:rsidRDefault="00657EC3" w:rsidR="00657EC3">
      <w:pPr>
        <w:spacing w:after="0"/>
        <w:rPr>
          <w:rFonts w:hAnsi="Times New Roman" w:ascii="Times New Roman"/>
          <w:lang w:val="pl-PL"/>
        </w:rPr>
      </w:pPr>
    </w:p>
    <w:p w:rsidRDefault="00657EC3" w:rsidR="00657EC3">
      <w:pPr>
        <w:spacing w:after="0"/>
        <w:rPr>
          <w:rFonts w:hAnsi="Times New Roman" w:ascii="Times New Roman"/>
          <w:lang w:val="pl-PL"/>
        </w:rPr>
      </w:pPr>
    </w:p>
    <w:p w:rsidRDefault="0092730C" w:rsidR="00657EC3">
      <w:pPr>
        <w:spacing w:after="0"/>
        <w:rPr>
          <w:rFonts w:hAnsi="Times New Roman" w:ascii="Times New Roman"/>
        </w:rPr>
      </w:pPr>
      <w:r>
        <w:rPr>
          <w:rFonts w:hAnsi="Times New Roman" w:ascii="Times New Roman"/>
          <w:b/>
          <w:bCs/>
          <w:lang w:val="pl-PL"/>
        </w:rPr>
        <w:t>2. Radnje stečajnog upravitelja nakon preuzimanja dužnosti</w:t>
      </w:r>
    </w:p>
    <w:p w:rsidRDefault="0092730C" w:rsidR="00657EC3">
      <w:pPr>
        <w:pStyle w:val="WW-Default1"/>
        <w:spacing w:lineRule="atLeast" w:line="200" w:after="120" w:before="120"/>
        <w:rPr>
          <w:rFonts w:hAnsi="Times New Roman" w:ascii="Times New Roman"/>
          <w:szCs w:val="22"/>
        </w:rPr>
      </w:pPr>
      <w:r>
        <w:rPr>
          <w:rFonts w:hAnsi="Times New Roman" w:ascii="Times New Roman"/>
          <w:szCs w:val="22"/>
        </w:rPr>
        <w:t>Nakon otvaranja stečajnog postupka, stečajni upraviteljica je:</w:t>
      </w:r>
    </w:p>
    <w:p w:rsidRDefault="0092730C" w:rsidR="00657EC3">
      <w:pPr>
        <w:pStyle w:val="Odlomakpopisa1"/>
        <w:numPr>
          <w:ilvl w:val="0"/>
          <w:numId w:val="2"/>
        </w:numPr>
        <w:tabs>
          <w:tab w:pos="1434" w:val="left"/>
          <w:tab w:pos="1440" w:val="left"/>
        </w:tabs>
        <w:rPr>
          <w:rFonts w:hAnsi="Times New Roman" w:ascii="Times New Roman"/>
          <w:sz w:val="22"/>
          <w:szCs w:val="22"/>
        </w:rPr>
      </w:pPr>
      <w:r>
        <w:rPr>
          <w:rFonts w:hAnsi="Times New Roman" w:ascii="Times New Roman"/>
          <w:sz w:val="22"/>
          <w:szCs w:val="22"/>
        </w:rPr>
        <w:t>Preuzela u posjed dužnikovu imovinu</w:t>
      </w:r>
    </w:p>
    <w:p w:rsidRDefault="0092730C" w:rsidR="00657EC3">
      <w:pPr>
        <w:pStyle w:val="Odlomakpopisa1"/>
        <w:numPr>
          <w:ilvl w:val="0"/>
          <w:numId w:val="2"/>
        </w:numPr>
        <w:tabs>
          <w:tab w:pos="1434" w:val="left"/>
          <w:tab w:pos="1440" w:val="left"/>
        </w:tabs>
        <w:rPr>
          <w:rFonts w:hAnsi="Times New Roman" w:ascii="Times New Roman"/>
          <w:sz w:val="22"/>
          <w:szCs w:val="22"/>
        </w:rPr>
      </w:pPr>
      <w:r>
        <w:rPr>
          <w:rFonts w:hAnsi="Times New Roman" w:ascii="Times New Roman"/>
          <w:sz w:val="22"/>
          <w:szCs w:val="22"/>
        </w:rPr>
        <w:t>Izvršila popis imovine i utvrdila početno stanje imovine sa danom otvaranja stečajnog postupka</w:t>
      </w:r>
    </w:p>
    <w:p w:rsidRDefault="0092730C" w:rsidR="00657EC3">
      <w:pPr>
        <w:pStyle w:val="Odlomakpopisa1"/>
        <w:numPr>
          <w:ilvl w:val="0"/>
          <w:numId w:val="2"/>
        </w:numPr>
        <w:tabs>
          <w:tab w:pos="1434" w:val="left"/>
          <w:tab w:pos="1440" w:val="left"/>
        </w:tabs>
        <w:rPr>
          <w:rFonts w:hAnsi="Times New Roman" w:ascii="Times New Roman"/>
          <w:sz w:val="22"/>
          <w:szCs w:val="22"/>
        </w:rPr>
      </w:pPr>
      <w:r>
        <w:rPr>
          <w:rFonts w:hAnsi="Times New Roman" w:ascii="Times New Roman"/>
          <w:sz w:val="22"/>
          <w:szCs w:val="22"/>
        </w:rPr>
        <w:t>Preuzela u posjed stare žigove i izradila novi</w:t>
      </w:r>
    </w:p>
    <w:p w:rsidRDefault="0092730C" w:rsidR="00657EC3">
      <w:pPr>
        <w:pStyle w:val="Odlomakpopisa1"/>
        <w:numPr>
          <w:ilvl w:val="0"/>
          <w:numId w:val="2"/>
        </w:numPr>
        <w:tabs>
          <w:tab w:pos="1434" w:val="left"/>
          <w:tab w:pos="1440" w:val="left"/>
        </w:tabs>
        <w:rPr>
          <w:rFonts w:hAnsi="Times New Roman" w:ascii="Times New Roman"/>
          <w:sz w:val="22"/>
          <w:szCs w:val="22"/>
        </w:rPr>
      </w:pPr>
      <w:r>
        <w:rPr>
          <w:rFonts w:hAnsi="Times New Roman" w:ascii="Times New Roman"/>
          <w:sz w:val="22"/>
          <w:szCs w:val="22"/>
        </w:rPr>
        <w:t>Zatvorila stare poslovne račune i otvorila novi račun kod Privredne banke Zagreb d.d.</w:t>
      </w:r>
    </w:p>
    <w:p w:rsidRDefault="0092730C" w:rsidR="00657EC3">
      <w:pPr>
        <w:pStyle w:val="Odlomakpopisa1"/>
        <w:numPr>
          <w:ilvl w:val="0"/>
          <w:numId w:val="2"/>
        </w:numPr>
        <w:tabs>
          <w:tab w:pos="1434" w:val="left"/>
          <w:tab w:pos="1440" w:val="left"/>
        </w:tabs>
        <w:rPr>
          <w:rFonts w:hAnsi="Times New Roman" w:ascii="Times New Roman"/>
          <w:sz w:val="22"/>
          <w:szCs w:val="22"/>
        </w:rPr>
      </w:pPr>
      <w:r>
        <w:rPr>
          <w:rFonts w:hAnsi="Times New Roman" w:ascii="Times New Roman"/>
          <w:sz w:val="22"/>
          <w:szCs w:val="22"/>
        </w:rPr>
        <w:t>Nastavila vođenje poslovnih knjiga stečajnog dužnika</w:t>
      </w:r>
    </w:p>
    <w:p w:rsidRDefault="0092730C" w:rsidR="00657EC3">
      <w:pPr>
        <w:pStyle w:val="Odlomakpopisa1"/>
        <w:numPr>
          <w:ilvl w:val="0"/>
          <w:numId w:val="2"/>
        </w:numPr>
        <w:tabs>
          <w:tab w:pos="1434" w:val="left"/>
          <w:tab w:pos="1440" w:val="left"/>
        </w:tabs>
        <w:rPr>
          <w:rFonts w:hAnsi="Times New Roman" w:ascii="Times New Roman"/>
          <w:sz w:val="22"/>
          <w:szCs w:val="22"/>
        </w:rPr>
      </w:pPr>
      <w:r>
        <w:rPr>
          <w:rFonts w:hAnsi="Times New Roman" w:ascii="Times New Roman"/>
          <w:sz w:val="22"/>
          <w:szCs w:val="22"/>
        </w:rPr>
        <w:t xml:space="preserve">Ispitala prijavljene tražbine vjerovnika i izradila tablice prijavljenih tražbina i tablicu </w:t>
      </w:r>
      <w:proofErr w:type="spellStart"/>
      <w:r>
        <w:rPr>
          <w:rFonts w:hAnsi="Times New Roman" w:ascii="Times New Roman"/>
          <w:sz w:val="22"/>
          <w:szCs w:val="22"/>
        </w:rPr>
        <w:t>razlučnih</w:t>
      </w:r>
      <w:proofErr w:type="spellEnd"/>
      <w:r>
        <w:rPr>
          <w:rFonts w:hAnsi="Times New Roman" w:ascii="Times New Roman"/>
          <w:sz w:val="22"/>
          <w:szCs w:val="22"/>
        </w:rPr>
        <w:t xml:space="preserve"> prava</w:t>
      </w:r>
    </w:p>
    <w:p w:rsidRDefault="0092730C" w:rsidR="00657EC3">
      <w:pPr>
        <w:pStyle w:val="Odlomakpopisa1"/>
        <w:numPr>
          <w:ilvl w:val="0"/>
          <w:numId w:val="2"/>
        </w:numPr>
        <w:tabs>
          <w:tab w:pos="1434" w:val="left"/>
          <w:tab w:pos="1440" w:val="left"/>
        </w:tabs>
        <w:rPr>
          <w:rFonts w:hAnsi="Times New Roman" w:ascii="Times New Roman"/>
          <w:sz w:val="22"/>
          <w:szCs w:val="22"/>
          <w:lang w:val="pl-PL"/>
        </w:rPr>
      </w:pPr>
      <w:r>
        <w:rPr>
          <w:rFonts w:hAnsi="Times New Roman" w:ascii="Times New Roman"/>
          <w:sz w:val="22"/>
          <w:szCs w:val="22"/>
        </w:rPr>
        <w:t>Pripremila dokumentaciju za ispitno i izvještajno ročište</w:t>
      </w:r>
    </w:p>
    <w:p w:rsidRDefault="0092730C" w:rsidR="00657EC3">
      <w:pPr>
        <w:pStyle w:val="Odlomakpopisa1"/>
        <w:numPr>
          <w:ilvl w:val="0"/>
          <w:numId w:val="2"/>
        </w:numPr>
        <w:tabs>
          <w:tab w:pos="1434" w:val="left"/>
          <w:tab w:pos="1440" w:val="left"/>
        </w:tabs>
        <w:rPr>
          <w:rFonts w:hAnsi="Times New Roman" w:ascii="Times New Roman"/>
          <w:lang w:val="pl-PL"/>
        </w:rPr>
      </w:pPr>
      <w:r>
        <w:rPr>
          <w:rFonts w:hAnsi="Times New Roman" w:ascii="Times New Roman"/>
          <w:sz w:val="22"/>
          <w:szCs w:val="22"/>
          <w:lang w:val="pl-PL"/>
        </w:rPr>
        <w:t>Obavila i druge poslove u skladu sa Stečajnim zakonom</w:t>
      </w:r>
    </w:p>
    <w:p w:rsidRDefault="00657EC3" w:rsidR="00657EC3">
      <w:pPr>
        <w:spacing w:after="0"/>
        <w:rPr>
          <w:rFonts w:hAnsi="Times New Roman" w:ascii="Times New Roman"/>
          <w:lang w:val="pl-PL"/>
        </w:rPr>
      </w:pPr>
    </w:p>
    <w:p w:rsidRDefault="00657EC3" w:rsidR="00657EC3">
      <w:pPr>
        <w:spacing w:after="0"/>
        <w:rPr>
          <w:rFonts w:hAnsi="Times New Roman" w:ascii="Times New Roman"/>
          <w:b/>
          <w:bCs/>
          <w:lang w:val="pl-PL"/>
        </w:rPr>
      </w:pPr>
    </w:p>
    <w:p w:rsidRDefault="0092730C" w:rsidR="00657EC3">
      <w:pPr>
        <w:pageBreakBefore/>
        <w:spacing w:after="0"/>
        <w:rPr>
          <w:rFonts w:hAnsi="Times New Roman" w:ascii="Times New Roman"/>
          <w:lang w:val="pl-PL"/>
        </w:rPr>
      </w:pPr>
      <w:r>
        <w:rPr>
          <w:rFonts w:hAnsi="Times New Roman" w:ascii="Times New Roman"/>
          <w:b/>
          <w:bCs/>
          <w:lang w:val="pl-PL"/>
        </w:rPr>
        <w:lastRenderedPageBreak/>
        <w:t>3. Stanje imovine stečajnog dužnika na dan otvaranja stečajnog postupka</w:t>
      </w:r>
    </w:p>
    <w:p w:rsidRDefault="00657EC3" w:rsidR="00657EC3">
      <w:pPr>
        <w:spacing w:after="0"/>
        <w:rPr>
          <w:rFonts w:hAnsi="Times New Roman" w:ascii="Times New Roman"/>
          <w:lang w:val="pl-PL"/>
        </w:rPr>
      </w:pPr>
    </w:p>
    <w:p w:rsidRDefault="0092730C" w:rsidR="00657EC3">
      <w:pPr>
        <w:spacing w:after="0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Na dan otvaranja stečajnog postupka, imovina stečajnog dužnika sastoji se od jedne pokretnine i jedne nekretnine:</w:t>
      </w:r>
    </w:p>
    <w:p w:rsidRDefault="00657EC3" w:rsidR="00657EC3">
      <w:pPr>
        <w:spacing w:after="0"/>
        <w:rPr>
          <w:rFonts w:hAnsi="Times New Roman" w:ascii="Times New Roman"/>
          <w:lang w:val="pl-PL"/>
        </w:rPr>
      </w:pPr>
    </w:p>
    <w:tbl>
      <w:tblPr>
        <w:tblW w:type="auto" w:w="0"/>
        <w:tblInd w:type="dxa" w:w="92"/>
        <w:tblLayout w:type="fixed"/>
        <w:tblLook w:val="0000" w:noVBand="0" w:noHBand="0" w:lastColumn="0" w:firstColumn="0" w:lastRow="0" w:firstRow="0"/>
      </w:tblPr>
      <w:tblGrid>
        <w:gridCol w:w="853"/>
        <w:gridCol w:w="2942"/>
        <w:gridCol w:w="1710"/>
        <w:gridCol w:w="2597"/>
      </w:tblGrid>
      <w:tr w:rsidR="00657EC3">
        <w:trPr>
          <w:trHeight w:val="480"/>
        </w:trPr>
        <w:tc>
          <w:tcPr>
            <w:tcW w:type="dxa" w:w="853"/>
            <w:tcBorders>
              <w:top w:space="0" w:sz="1" w:color="000000" w:val="single"/>
              <w:left w:space="0" w:sz="1" w:color="000000" w:val="single"/>
              <w:bottom w:space="0" w:sz="1" w:color="000000" w:val="single"/>
            </w:tcBorders>
            <w:shd w:fill="FFFFFF" w:color="auto" w:val="clear"/>
            <w:vAlign w:val="bottom"/>
          </w:tcPr>
          <w:p w:rsidRDefault="0092730C" w:rsidR="00657EC3">
            <w:pPr>
              <w:spacing w:after="0"/>
              <w:jc w:val="center"/>
            </w:pPr>
            <w:r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Broj</w:t>
            </w:r>
          </w:p>
        </w:tc>
        <w:tc>
          <w:tcPr>
            <w:tcW w:type="dxa" w:w="2942"/>
            <w:tcBorders>
              <w:top w:space="0" w:sz="1" w:color="000000" w:val="single"/>
              <w:left w:space="0" w:sz="1" w:color="000000" w:val="single"/>
              <w:bottom w:space="0" w:sz="1" w:color="000000" w:val="single"/>
            </w:tcBorders>
            <w:shd w:fill="FFFFFF" w:color="auto" w:val="clear"/>
            <w:vAlign w:val="bottom"/>
          </w:tcPr>
          <w:p w:rsidRDefault="0092730C" w:rsidR="00657EC3">
            <w:pPr>
              <w:spacing w:after="0"/>
              <w:jc w:val="center"/>
            </w:pPr>
            <w:r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Naziv pokretnine</w:t>
            </w:r>
          </w:p>
        </w:tc>
        <w:tc>
          <w:tcPr>
            <w:tcW w:type="dxa" w:w="1710"/>
            <w:tcBorders>
              <w:top w:space="0" w:sz="1" w:color="000000" w:val="single"/>
              <w:left w:space="0" w:sz="1" w:color="000000" w:val="single"/>
              <w:bottom w:space="0" w:sz="1" w:color="000000" w:val="single"/>
            </w:tcBorders>
            <w:shd w:fill="FFFFFF" w:color="auto" w:val="clear"/>
            <w:vAlign w:val="bottom"/>
          </w:tcPr>
          <w:p w:rsidRDefault="0092730C" w:rsidR="00657EC3">
            <w:pPr>
              <w:spacing w:after="0"/>
              <w:jc w:val="center"/>
            </w:pPr>
            <w:r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Datum nabave</w:t>
            </w:r>
          </w:p>
        </w:tc>
        <w:tc>
          <w:tcPr>
            <w:tcW w:type="dxa" w:w="2597"/>
            <w:tcBorders>
              <w:top w:space="0" w:sz="1" w:color="000000" w:val="single"/>
              <w:left w:space="0" w:sz="1" w:color="000000" w:val="single"/>
              <w:bottom w:space="0" w:sz="1" w:color="000000" w:val="single"/>
              <w:right w:space="0" w:sz="1" w:color="000000" w:val="single"/>
            </w:tcBorders>
            <w:shd w:fill="FFFFFF" w:color="auto" w:val="clear"/>
            <w:vAlign w:val="bottom"/>
          </w:tcPr>
          <w:p w:rsidRDefault="0092730C" w:rsidR="00657EC3">
            <w:pPr>
              <w:spacing w:after="0"/>
              <w:jc w:val="center"/>
            </w:pPr>
            <w:r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Procijenjena vrijednost u kunama</w:t>
            </w:r>
          </w:p>
        </w:tc>
      </w:tr>
      <w:tr w:rsidR="00657EC3">
        <w:trPr>
          <w:trHeight w:val="240"/>
        </w:trPr>
        <w:tc>
          <w:tcPr>
            <w:tcW w:type="dxa" w:w="853"/>
            <w:tcBorders>
              <w:top w:space="0" w:sz="1" w:color="000000" w:val="single"/>
              <w:left w:space="0" w:sz="1" w:color="000000" w:val="single"/>
              <w:bottom w:space="0" w:sz="1" w:color="000000" w:val="single"/>
            </w:tcBorders>
            <w:shd w:fill="FFFFFF" w:color="auto" w:val="clear"/>
            <w:vAlign w:val="bottom"/>
          </w:tcPr>
          <w:p w:rsidRDefault="0092730C" w:rsidR="00657EC3">
            <w:pPr>
              <w:spacing w:after="0"/>
              <w:jc w:val="center"/>
            </w:pP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1.</w:t>
            </w:r>
          </w:p>
        </w:tc>
        <w:tc>
          <w:tcPr>
            <w:tcW w:type="dxa" w:w="2942"/>
            <w:tcBorders>
              <w:top w:space="0" w:sz="1" w:color="000000" w:val="single"/>
              <w:left w:space="0" w:sz="1" w:color="000000" w:val="single"/>
              <w:bottom w:space="0" w:sz="1" w:color="000000" w:val="single"/>
            </w:tcBorders>
            <w:shd w:fill="FFFFFF" w:color="auto" w:val="clear"/>
            <w:vAlign w:val="bottom"/>
          </w:tcPr>
          <w:p w:rsidRDefault="0092730C" w:rsidR="00657EC3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Kombi vozilo Ford </w:t>
            </w:r>
            <w:proofErr w:type="spellStart"/>
            <w:r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Transit</w:t>
            </w:r>
            <w:proofErr w:type="spellEnd"/>
            <w:r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 2,5 D</w:t>
            </w:r>
          </w:p>
          <w:p w:rsidRDefault="0092730C" w:rsidR="00657EC3">
            <w:pPr>
              <w:spacing w:after="0"/>
              <w:jc w:val="center"/>
            </w:pP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 (1 kom)</w:t>
            </w:r>
          </w:p>
        </w:tc>
        <w:tc>
          <w:tcPr>
            <w:tcW w:type="dxa" w:w="1710"/>
            <w:tcBorders>
              <w:top w:space="0" w:sz="1" w:color="000000" w:val="single"/>
              <w:left w:space="0" w:sz="1" w:color="000000" w:val="single"/>
              <w:bottom w:space="0" w:sz="1" w:color="000000" w:val="single"/>
            </w:tcBorders>
            <w:shd w:fill="FFFFFF" w:color="auto" w:val="clear"/>
            <w:vAlign w:val="bottom"/>
          </w:tcPr>
          <w:p w:rsidRDefault="0092730C" w:rsidR="00657EC3">
            <w:pPr>
              <w:spacing w:after="0"/>
              <w:jc w:val="center"/>
            </w:pP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2007</w:t>
            </w:r>
          </w:p>
        </w:tc>
        <w:tc>
          <w:tcPr>
            <w:tcW w:type="dxa" w:w="2597"/>
            <w:tcBorders>
              <w:top w:space="0" w:sz="1" w:color="000000" w:val="single"/>
              <w:left w:space="0" w:sz="1" w:color="000000" w:val="single"/>
              <w:bottom w:space="0" w:sz="1" w:color="000000" w:val="single"/>
              <w:right w:space="0" w:sz="1" w:color="000000" w:val="single"/>
            </w:tcBorders>
            <w:shd w:fill="FFFFFF" w:color="auto" w:val="clear"/>
            <w:vAlign w:val="bottom"/>
          </w:tcPr>
          <w:p w:rsidRDefault="0092730C" w:rsidR="00657EC3">
            <w:pPr>
              <w:spacing w:after="0"/>
              <w:jc w:val="center"/>
            </w:pP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900,00</w:t>
            </w:r>
          </w:p>
        </w:tc>
      </w:tr>
      <w:tr w:rsidR="00657EC3">
        <w:trPr>
          <w:trHeight w:val="240"/>
        </w:trPr>
        <w:tc>
          <w:tcPr>
            <w:tcW w:type="dxa" w:w="853"/>
            <w:shd w:fill="FFFFFF" w:color="auto" w:val="clear"/>
            <w:vAlign w:val="bottom"/>
          </w:tcPr>
          <w:p w:rsidRDefault="00657EC3" w:rsidR="00657EC3">
            <w:pPr>
              <w:snapToGrid w:val="false"/>
              <w:spacing w:after="0"/>
              <w:jc w:val="center"/>
            </w:pPr>
          </w:p>
        </w:tc>
        <w:tc>
          <w:tcPr>
            <w:tcW w:type="dxa" w:w="2942"/>
            <w:shd w:fill="FFFFFF" w:color="auto" w:val="clear"/>
            <w:vAlign w:val="bottom"/>
          </w:tcPr>
          <w:p w:rsidRDefault="00657EC3" w:rsidR="00657EC3">
            <w:pPr>
              <w:snapToGrid w:val="false"/>
              <w:spacing w:after="0"/>
              <w:jc w:val="center"/>
            </w:pPr>
          </w:p>
        </w:tc>
        <w:tc>
          <w:tcPr>
            <w:tcW w:type="dxa" w:w="1710"/>
            <w:shd w:fill="FFFFFF" w:color="auto" w:val="clear"/>
            <w:vAlign w:val="bottom"/>
          </w:tcPr>
          <w:p w:rsidRDefault="00657EC3" w:rsidR="00657EC3">
            <w:pPr>
              <w:snapToGrid w:val="false"/>
              <w:spacing w:after="0"/>
              <w:jc w:val="center"/>
            </w:pPr>
          </w:p>
        </w:tc>
        <w:tc>
          <w:tcPr>
            <w:tcW w:type="dxa" w:w="2595"/>
            <w:shd w:fill="FFFFFF" w:color="auto" w:val="clear"/>
            <w:vAlign w:val="bottom"/>
          </w:tcPr>
          <w:p w:rsidRDefault="00657EC3" w:rsidR="00657EC3">
            <w:pPr>
              <w:snapToGrid w:val="false"/>
              <w:spacing w:after="0"/>
              <w:jc w:val="center"/>
            </w:pPr>
          </w:p>
        </w:tc>
      </w:tr>
      <w:tr w:rsidR="00657EC3">
        <w:trPr>
          <w:trHeight w:val="240"/>
        </w:trPr>
        <w:tc>
          <w:tcPr>
            <w:tcW w:type="dxa" w:w="853"/>
            <w:shd w:fill="FFFFFF" w:color="auto" w:val="clear"/>
            <w:vAlign w:val="bottom"/>
          </w:tcPr>
          <w:p w:rsidRDefault="00657EC3" w:rsidR="00657EC3">
            <w:pPr>
              <w:snapToGrid w:val="false"/>
              <w:spacing w:after="0"/>
              <w:jc w:val="center"/>
            </w:pPr>
          </w:p>
        </w:tc>
        <w:tc>
          <w:tcPr>
            <w:tcW w:type="dxa" w:w="2942"/>
            <w:tcBorders>
              <w:top w:space="0" w:sz="1" w:color="000000" w:val="single"/>
              <w:left w:space="0" w:sz="1" w:color="000000" w:val="single"/>
              <w:bottom w:space="0" w:sz="1" w:color="000000" w:val="single"/>
            </w:tcBorders>
            <w:shd w:fill="FFFFFF" w:color="auto" w:val="clear"/>
            <w:vAlign w:val="bottom"/>
          </w:tcPr>
          <w:p w:rsidRDefault="0092730C" w:rsidR="00657EC3">
            <w:pPr>
              <w:spacing w:after="0"/>
              <w:jc w:val="center"/>
            </w:pP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Ukupna procijenjena vrijednost</w:t>
            </w:r>
          </w:p>
        </w:tc>
        <w:tc>
          <w:tcPr>
            <w:tcW w:type="dxa" w:w="1710"/>
            <w:tcBorders>
              <w:top w:space="0" w:sz="1" w:color="000000" w:val="single"/>
              <w:left w:space="0" w:sz="1" w:color="000000" w:val="single"/>
              <w:bottom w:space="0" w:sz="1" w:color="000000" w:val="single"/>
            </w:tcBorders>
            <w:shd w:fill="FFFFFF" w:color="auto" w:val="clear"/>
            <w:vAlign w:val="bottom"/>
          </w:tcPr>
          <w:p w:rsidRDefault="00657EC3" w:rsidR="00657EC3">
            <w:pPr>
              <w:snapToGrid w:val="false"/>
              <w:spacing w:after="0"/>
              <w:jc w:val="center"/>
            </w:pPr>
          </w:p>
        </w:tc>
        <w:tc>
          <w:tcPr>
            <w:tcW w:type="dxa" w:w="2597"/>
            <w:tcBorders>
              <w:top w:space="0" w:sz="1" w:color="000000" w:val="single"/>
              <w:left w:space="0" w:sz="1" w:color="000000" w:val="single"/>
              <w:bottom w:space="0" w:sz="1" w:color="000000" w:val="single"/>
              <w:right w:space="0" w:sz="1" w:color="000000" w:val="single"/>
            </w:tcBorders>
            <w:shd w:fill="FFFFFF" w:color="auto" w:val="clear"/>
            <w:vAlign w:val="bottom"/>
          </w:tcPr>
          <w:p w:rsidRDefault="0092730C" w:rsidR="00657EC3">
            <w:pPr>
              <w:spacing w:after="0"/>
              <w:jc w:val="center"/>
            </w:pP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900,00</w:t>
            </w:r>
          </w:p>
        </w:tc>
      </w:tr>
      <w:tr w:rsidR="00657EC3">
        <w:trPr>
          <w:trHeight w:val="240"/>
        </w:trPr>
        <w:tc>
          <w:tcPr>
            <w:tcW w:type="dxa" w:w="853"/>
            <w:shd w:fill="FFFFFF" w:color="auto" w:val="clear"/>
            <w:vAlign w:val="bottom"/>
          </w:tcPr>
          <w:p w:rsidRDefault="00657EC3" w:rsidR="00657EC3">
            <w:pPr>
              <w:snapToGrid w:val="false"/>
              <w:spacing w:after="0"/>
              <w:jc w:val="center"/>
            </w:pPr>
          </w:p>
        </w:tc>
        <w:tc>
          <w:tcPr>
            <w:tcW w:type="dxa" w:w="2942"/>
            <w:shd w:fill="FFFFFF" w:color="auto" w:val="clear"/>
            <w:vAlign w:val="bottom"/>
          </w:tcPr>
          <w:p w:rsidRDefault="00657EC3" w:rsidR="00657EC3">
            <w:pPr>
              <w:snapToGrid w:val="false"/>
              <w:spacing w:after="0"/>
              <w:jc w:val="center"/>
            </w:pPr>
          </w:p>
        </w:tc>
        <w:tc>
          <w:tcPr>
            <w:tcW w:type="dxa" w:w="1710"/>
            <w:shd w:fill="FFFFFF" w:color="auto" w:val="clear"/>
            <w:vAlign w:val="bottom"/>
          </w:tcPr>
          <w:p w:rsidRDefault="00657EC3" w:rsidR="00657EC3">
            <w:pPr>
              <w:snapToGrid w:val="false"/>
              <w:spacing w:after="0"/>
              <w:jc w:val="center"/>
            </w:pPr>
          </w:p>
        </w:tc>
        <w:tc>
          <w:tcPr>
            <w:tcW w:type="dxa" w:w="2595"/>
            <w:shd w:fill="FFFFFF" w:color="auto" w:val="clear"/>
            <w:vAlign w:val="bottom"/>
          </w:tcPr>
          <w:p w:rsidRDefault="00657EC3" w:rsidR="00657EC3">
            <w:pPr>
              <w:snapToGrid w:val="false"/>
              <w:spacing w:after="0"/>
              <w:jc w:val="center"/>
            </w:pPr>
          </w:p>
        </w:tc>
      </w:tr>
      <w:tr w:rsidR="00657EC3">
        <w:trPr>
          <w:trHeight w:val="240"/>
        </w:trPr>
        <w:tc>
          <w:tcPr>
            <w:tcW w:type="dxa" w:w="853"/>
            <w:tcBorders>
              <w:top w:space="0" w:sz="1" w:color="000000" w:val="single"/>
              <w:left w:space="0" w:sz="1" w:color="000000" w:val="single"/>
              <w:bottom w:space="0" w:sz="1" w:color="000000" w:val="single"/>
            </w:tcBorders>
            <w:shd w:fill="FFFFFF" w:color="auto" w:val="clear"/>
            <w:vAlign w:val="bottom"/>
          </w:tcPr>
          <w:p w:rsidRDefault="0092730C" w:rsidR="00657EC3">
            <w:pPr>
              <w:spacing w:after="0"/>
              <w:jc w:val="center"/>
            </w:pPr>
            <w:r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Broj</w:t>
            </w:r>
          </w:p>
        </w:tc>
        <w:tc>
          <w:tcPr>
            <w:tcW w:type="dxa" w:w="2942"/>
            <w:tcBorders>
              <w:top w:space="0" w:sz="1" w:color="000000" w:val="single"/>
              <w:left w:space="0" w:sz="1" w:color="000000" w:val="single"/>
              <w:bottom w:space="0" w:sz="1" w:color="000000" w:val="single"/>
            </w:tcBorders>
            <w:shd w:fill="FFFFFF" w:color="auto" w:val="clear"/>
            <w:vAlign w:val="bottom"/>
          </w:tcPr>
          <w:p w:rsidRDefault="0092730C" w:rsidR="00657EC3">
            <w:pPr>
              <w:spacing w:after="0"/>
              <w:jc w:val="center"/>
            </w:pPr>
            <w:r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Naziv nekretnine</w:t>
            </w:r>
          </w:p>
        </w:tc>
        <w:tc>
          <w:tcPr>
            <w:tcW w:type="dxa" w:w="1710"/>
            <w:tcBorders>
              <w:top w:space="0" w:sz="1" w:color="000000" w:val="single"/>
              <w:left w:space="0" w:sz="1" w:color="000000" w:val="single"/>
              <w:bottom w:space="0" w:sz="1" w:color="000000" w:val="single"/>
            </w:tcBorders>
            <w:shd w:fill="FFFFFF" w:color="auto" w:val="clear"/>
            <w:vAlign w:val="bottom"/>
          </w:tcPr>
          <w:p w:rsidRDefault="0092730C" w:rsidR="00657EC3">
            <w:pPr>
              <w:spacing w:after="0"/>
              <w:jc w:val="center"/>
            </w:pPr>
            <w:r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Knjigovodstvena vrijednost 31.12.2012.</w:t>
            </w:r>
          </w:p>
        </w:tc>
        <w:tc>
          <w:tcPr>
            <w:tcW w:type="dxa" w:w="2597"/>
            <w:tcBorders>
              <w:top w:space="0" w:sz="1" w:color="000000" w:val="single"/>
              <w:left w:space="0" w:sz="1" w:color="000000" w:val="single"/>
              <w:bottom w:space="0" w:sz="1" w:color="000000" w:val="single"/>
              <w:right w:space="0" w:sz="1" w:color="000000" w:val="single"/>
            </w:tcBorders>
            <w:shd w:fill="FFFFFF" w:color="auto" w:val="clear"/>
            <w:vAlign w:val="bottom"/>
          </w:tcPr>
          <w:p w:rsidRDefault="0092730C" w:rsidR="00657EC3">
            <w:pPr>
              <w:spacing w:after="0"/>
              <w:jc w:val="center"/>
            </w:pPr>
            <w:r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Procijenjena vrijednost u kunama</w:t>
            </w:r>
          </w:p>
        </w:tc>
      </w:tr>
      <w:tr w:rsidR="00657EC3">
        <w:trPr>
          <w:trHeight w:val="240"/>
        </w:trPr>
        <w:tc>
          <w:tcPr>
            <w:tcW w:type="dxa" w:w="853"/>
            <w:tcBorders>
              <w:top w:space="0" w:sz="1" w:color="000000" w:val="single"/>
              <w:left w:space="0" w:sz="1" w:color="000000" w:val="single"/>
              <w:bottom w:space="0" w:sz="1" w:color="000000" w:val="single"/>
            </w:tcBorders>
            <w:shd w:fill="FFFFFF" w:color="auto" w:val="clear"/>
            <w:vAlign w:val="bottom"/>
          </w:tcPr>
          <w:p w:rsidRDefault="0092730C" w:rsidR="00657EC3">
            <w:pPr>
              <w:spacing w:after="0"/>
              <w:jc w:val="center"/>
            </w:pP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1.</w:t>
            </w:r>
          </w:p>
        </w:tc>
        <w:tc>
          <w:tcPr>
            <w:tcW w:type="dxa" w:w="2942"/>
            <w:tcBorders>
              <w:top w:space="0" w:sz="1" w:color="000000" w:val="single"/>
              <w:left w:space="0" w:sz="1" w:color="000000" w:val="single"/>
              <w:bottom w:space="0" w:sz="1" w:color="000000" w:val="single"/>
            </w:tcBorders>
            <w:shd w:fill="FFFFFF" w:color="auto" w:val="clear"/>
            <w:vAlign w:val="bottom"/>
          </w:tcPr>
          <w:p w:rsidRDefault="0092730C" w:rsidR="00657EC3">
            <w:pPr>
              <w:spacing w:after="0"/>
              <w:jc w:val="center"/>
            </w:pP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Stan D1 i pripadajuće spremište br.4 u prizemlju (E-90), zk.ul.br. 6758 E, zk.čest.br. 1134/26/1/2, k.o. Čakovec, suvlasnički udio 17/2200</w:t>
            </w:r>
          </w:p>
          <w:p w:rsidRDefault="00657EC3" w:rsidR="00657EC3">
            <w:pPr>
              <w:spacing w:after="0"/>
              <w:jc w:val="center"/>
            </w:pPr>
          </w:p>
        </w:tc>
        <w:tc>
          <w:tcPr>
            <w:tcW w:type="dxa" w:w="1710"/>
            <w:tcBorders>
              <w:top w:space="0" w:sz="1" w:color="000000" w:val="single"/>
              <w:left w:space="0" w:sz="1" w:color="000000" w:val="single"/>
              <w:bottom w:space="0" w:sz="1" w:color="000000" w:val="single"/>
            </w:tcBorders>
            <w:shd w:fill="FFFFFF" w:color="auto" w:val="clear"/>
            <w:vAlign w:val="bottom"/>
          </w:tcPr>
          <w:p w:rsidRDefault="0092730C" w:rsidR="00657EC3">
            <w:pPr>
              <w:spacing w:after="0"/>
              <w:jc w:val="center"/>
            </w:pP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184.758,00</w:t>
            </w:r>
          </w:p>
        </w:tc>
        <w:tc>
          <w:tcPr>
            <w:tcW w:type="dxa" w:w="2597"/>
            <w:tcBorders>
              <w:top w:space="0" w:sz="1" w:color="000000" w:val="single"/>
              <w:left w:space="0" w:sz="1" w:color="000000" w:val="single"/>
              <w:bottom w:space="0" w:sz="1" w:color="000000" w:val="single"/>
              <w:right w:space="0" w:sz="1" w:color="000000" w:val="single"/>
            </w:tcBorders>
            <w:shd w:fill="FFFFFF" w:color="auto" w:val="clear"/>
            <w:vAlign w:val="bottom"/>
          </w:tcPr>
          <w:p w:rsidRDefault="0092730C" w:rsidR="00657EC3">
            <w:pPr>
              <w:spacing w:after="0"/>
              <w:jc w:val="center"/>
            </w:pP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216.000,00</w:t>
            </w:r>
          </w:p>
        </w:tc>
      </w:tr>
      <w:tr w:rsidR="00657EC3">
        <w:trPr>
          <w:trHeight w:val="240"/>
        </w:trPr>
        <w:tc>
          <w:tcPr>
            <w:tcW w:type="dxa" w:w="853"/>
            <w:shd w:fill="FFFFFF" w:color="auto" w:val="clear"/>
            <w:vAlign w:val="bottom"/>
          </w:tcPr>
          <w:p w:rsidRDefault="00657EC3" w:rsidR="00657EC3">
            <w:pPr>
              <w:snapToGrid w:val="false"/>
              <w:spacing w:after="0"/>
              <w:jc w:val="center"/>
            </w:pPr>
          </w:p>
        </w:tc>
        <w:tc>
          <w:tcPr>
            <w:tcW w:type="dxa" w:w="2942"/>
            <w:shd w:fill="FFFFFF" w:color="auto" w:val="clear"/>
            <w:vAlign w:val="bottom"/>
          </w:tcPr>
          <w:p w:rsidRDefault="00657EC3" w:rsidR="00657EC3">
            <w:pPr>
              <w:snapToGrid w:val="false"/>
              <w:spacing w:after="0"/>
              <w:jc w:val="center"/>
            </w:pPr>
          </w:p>
        </w:tc>
        <w:tc>
          <w:tcPr>
            <w:tcW w:type="dxa" w:w="1710"/>
            <w:shd w:fill="FFFFFF" w:color="auto" w:val="clear"/>
            <w:vAlign w:val="bottom"/>
          </w:tcPr>
          <w:p w:rsidRDefault="00657EC3" w:rsidR="00657EC3">
            <w:pPr>
              <w:snapToGrid w:val="false"/>
              <w:spacing w:after="0"/>
              <w:jc w:val="center"/>
            </w:pPr>
          </w:p>
        </w:tc>
        <w:tc>
          <w:tcPr>
            <w:tcW w:type="dxa" w:w="2595"/>
            <w:shd w:fill="FFFFFF" w:color="auto" w:val="clear"/>
            <w:vAlign w:val="bottom"/>
          </w:tcPr>
          <w:p w:rsidRDefault="00657EC3" w:rsidR="00657EC3">
            <w:pPr>
              <w:snapToGrid w:val="false"/>
              <w:spacing w:after="0"/>
              <w:jc w:val="center"/>
            </w:pPr>
          </w:p>
        </w:tc>
      </w:tr>
      <w:tr w:rsidR="00657EC3">
        <w:trPr>
          <w:trHeight w:val="240"/>
        </w:trPr>
        <w:tc>
          <w:tcPr>
            <w:tcW w:type="dxa" w:w="853"/>
            <w:shd w:fill="FFFFFF" w:color="auto" w:val="clear"/>
            <w:vAlign w:val="bottom"/>
          </w:tcPr>
          <w:p w:rsidRDefault="00657EC3" w:rsidR="00657EC3">
            <w:pPr>
              <w:snapToGrid w:val="false"/>
              <w:spacing w:after="0"/>
            </w:pPr>
          </w:p>
        </w:tc>
        <w:tc>
          <w:tcPr>
            <w:tcW w:type="dxa" w:w="2942"/>
            <w:tcBorders>
              <w:top w:space="0" w:sz="1" w:color="000000" w:val="single"/>
              <w:left w:space="0" w:sz="1" w:color="000000" w:val="single"/>
              <w:bottom w:space="0" w:sz="1" w:color="000000" w:val="single"/>
            </w:tcBorders>
            <w:shd w:fill="FFFFFF" w:color="auto" w:val="clear"/>
            <w:vAlign w:val="bottom"/>
          </w:tcPr>
          <w:p w:rsidRDefault="0092730C" w:rsidR="00657EC3">
            <w:pPr>
              <w:spacing w:after="0"/>
              <w:jc w:val="center"/>
            </w:pP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Ukupna procijenjena vrijednost</w:t>
            </w:r>
          </w:p>
        </w:tc>
        <w:tc>
          <w:tcPr>
            <w:tcW w:type="dxa" w:w="1710"/>
            <w:tcBorders>
              <w:top w:space="0" w:sz="1" w:color="000000" w:val="single"/>
              <w:left w:space="0" w:sz="1" w:color="000000" w:val="single"/>
              <w:bottom w:space="0" w:sz="1" w:color="000000" w:val="single"/>
            </w:tcBorders>
            <w:shd w:fill="FFFFFF" w:color="auto" w:val="clear"/>
            <w:vAlign w:val="bottom"/>
          </w:tcPr>
          <w:p w:rsidRDefault="00657EC3" w:rsidR="00657EC3">
            <w:pPr>
              <w:snapToGrid w:val="false"/>
              <w:spacing w:after="0"/>
              <w:jc w:val="center"/>
            </w:pPr>
          </w:p>
        </w:tc>
        <w:tc>
          <w:tcPr>
            <w:tcW w:type="dxa" w:w="2597"/>
            <w:tcBorders>
              <w:top w:space="0" w:sz="1" w:color="000000" w:val="single"/>
              <w:left w:space="0" w:sz="1" w:color="000000" w:val="single"/>
              <w:bottom w:space="0" w:sz="1" w:color="000000" w:val="single"/>
              <w:right w:space="0" w:sz="1" w:color="000000" w:val="single"/>
            </w:tcBorders>
            <w:shd w:fill="FFFFFF" w:color="auto" w:val="clear"/>
            <w:vAlign w:val="bottom"/>
          </w:tcPr>
          <w:p w:rsidRDefault="0092730C" w:rsidR="00657EC3">
            <w:pPr>
              <w:spacing w:after="0"/>
              <w:jc w:val="center"/>
            </w:pP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216.000,00</w:t>
            </w:r>
          </w:p>
        </w:tc>
      </w:tr>
    </w:tbl>
    <w:p w:rsidRDefault="00657EC3" w:rsidR="00657EC3">
      <w:pPr>
        <w:spacing w:after="0"/>
        <w:rPr>
          <w:rFonts w:hAnsi="Times New Roman" w:ascii="Times New Roman"/>
          <w:lang w:val="pl-PL"/>
        </w:rPr>
      </w:pPr>
    </w:p>
    <w:p w:rsidRDefault="00657EC3" w:rsidR="00657EC3">
      <w:pPr>
        <w:spacing w:after="0"/>
        <w:rPr>
          <w:rFonts w:hAnsi="Times New Roman" w:ascii="Times New Roman"/>
          <w:lang w:val="pl-PL"/>
        </w:rPr>
      </w:pPr>
    </w:p>
    <w:p w:rsidRDefault="0092730C" w:rsidR="00657EC3">
      <w:pPr>
        <w:spacing w:after="0"/>
        <w:rPr>
          <w:rFonts w:hAnsi="Times New Roman" w:ascii="Times New Roman"/>
        </w:rPr>
      </w:pPr>
      <w:r>
        <w:rPr>
          <w:rFonts w:hAnsi="Times New Roman" w:ascii="Times New Roman"/>
          <w:lang w:val="pl-PL"/>
        </w:rPr>
        <w:t>Procjena tržišne vrijednosti navedene imovine izrađena je od strane stalnog sudskog procjenitelja za područje strojarstva, strojarske i procesne opreme te poljoprivredne mehanizacije, Marjana Novaka, ing. stroj., Pušćine, Čakovečka 79, Nedelišće i društva Međimurje-investa d.o.o., Čakovec, Ruđera Boškovića 16 te g. Dragutina Matoteka, dipl. ing., stalnog sudskog vještaka za graditeljstvo i procjenu nekretnina.</w:t>
      </w:r>
    </w:p>
    <w:p w:rsidRDefault="00657EC3" w:rsidR="00657EC3">
      <w:pPr>
        <w:spacing w:after="0"/>
        <w:rPr>
          <w:rFonts w:hAnsi="Times New Roman" w:ascii="Times New Roman"/>
        </w:rPr>
      </w:pPr>
    </w:p>
    <w:p w:rsidRDefault="00657EC3" w:rsidR="00657EC3">
      <w:pPr>
        <w:spacing w:after="0"/>
        <w:rPr>
          <w:rFonts w:hAnsi="Times New Roman" w:ascii="Times New Roman"/>
          <w:lang w:val="pl-PL"/>
        </w:rPr>
      </w:pPr>
    </w:p>
    <w:p w:rsidRDefault="0092730C" w:rsidR="00657EC3">
      <w:pPr>
        <w:spacing w:after="0"/>
        <w:rPr>
          <w:rFonts w:hAnsi="Times New Roman" w:ascii="Times New Roman"/>
          <w:lang w:val="pl-PL"/>
        </w:rPr>
      </w:pPr>
      <w:r>
        <w:rPr>
          <w:rFonts w:hAnsi="Times New Roman" w:ascii="Times New Roman"/>
          <w:b/>
          <w:bCs/>
          <w:lang w:val="pl-PL"/>
        </w:rPr>
        <w:t>4. Obveze stečajnog dužnika</w:t>
      </w:r>
    </w:p>
    <w:p w:rsidRDefault="00657EC3" w:rsidR="00657EC3">
      <w:pPr>
        <w:spacing w:after="0"/>
        <w:rPr>
          <w:rFonts w:hAnsi="Times New Roman" w:ascii="Times New Roman"/>
          <w:lang w:val="pl-PL"/>
        </w:rPr>
      </w:pPr>
    </w:p>
    <w:p w:rsidRDefault="0092730C" w:rsidR="00657EC3">
      <w:pPr>
        <w:spacing w:after="0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Prema prijavljenim tražbinama u stečajni postupak i priznatima od strane stečajnog upravitelja, ukupne obveze stečajnog dužnika iznose 839.680,22 kn, a sastoje se od:</w:t>
      </w:r>
    </w:p>
    <w:p w:rsidRDefault="0092730C" w:rsidR="00657EC3">
      <w:pPr>
        <w:spacing w:after="0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- tražbina stečajnih vjerovnika 1. višeg isplatnog reda u iznosu od 61.933,26 kn</w:t>
      </w:r>
    </w:p>
    <w:p w:rsidRDefault="0092730C" w:rsidR="00657EC3">
      <w:pPr>
        <w:spacing w:after="0"/>
        <w:rPr>
          <w:rFonts w:hAnsi="Times New Roman" w:ascii="Times New Roman"/>
        </w:rPr>
      </w:pPr>
      <w:r>
        <w:rPr>
          <w:rFonts w:hAnsi="Times New Roman" w:ascii="Times New Roman"/>
          <w:lang w:val="pl-PL"/>
        </w:rPr>
        <w:t>- tražbina stečajnih vjerovnika 2. višeg isplatnog reda u iznosu od 777.746,96 kn</w:t>
      </w:r>
    </w:p>
    <w:p w:rsidRDefault="00657EC3" w:rsidR="00657EC3">
      <w:pPr>
        <w:spacing w:after="0"/>
        <w:rPr>
          <w:rFonts w:hAnsi="Times New Roman" w:ascii="Times New Roman"/>
        </w:rPr>
      </w:pPr>
    </w:p>
    <w:p w:rsidRDefault="0092730C" w:rsidR="00657EC3">
      <w:pPr>
        <w:spacing w:after="0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U tablici ispitanih tražbina na Obrascu 19., koju je sastavio stečajni upravitelj, vidljivo je da su osporene tražbine koje je prijavio Sandro Krička, vlasnik i odgovorna osoba u društvu prije pokretanja stečaja. Tražbine su osporene budući ne postoji vjerodostojna dokumentacija iz koje se može utvrditi postojanje tražbine, kao i činjenice da tražbine nisu zavedene u poslovnim knijgama, budući financijska izvješća društva nisu bila izrađivana od 2013. godine.</w:t>
      </w:r>
    </w:p>
    <w:p w:rsidRDefault="00657EC3" w:rsidR="00657EC3">
      <w:pPr>
        <w:spacing w:after="0"/>
        <w:rPr>
          <w:rFonts w:hAnsi="Times New Roman" w:ascii="Times New Roman"/>
          <w:lang w:val="pl-PL"/>
        </w:rPr>
      </w:pPr>
    </w:p>
    <w:p w:rsidRDefault="00657EC3" w:rsidR="00657EC3">
      <w:pPr>
        <w:spacing w:after="0"/>
        <w:rPr>
          <w:rFonts w:hAnsi="Times New Roman" w:ascii="Times New Roman"/>
          <w:lang w:val="pl-PL"/>
        </w:rPr>
      </w:pPr>
    </w:p>
    <w:p w:rsidRDefault="0092730C" w:rsidR="00657EC3">
      <w:pPr>
        <w:spacing w:after="0"/>
        <w:rPr>
          <w:rFonts w:hAnsi="Times New Roman" w:ascii="Times New Roman"/>
          <w:lang w:val="pl-PL"/>
        </w:rPr>
      </w:pPr>
      <w:r>
        <w:rPr>
          <w:rFonts w:hAnsi="Times New Roman" w:ascii="Times New Roman"/>
          <w:b/>
          <w:bCs/>
          <w:lang w:val="pl-PL"/>
        </w:rPr>
        <w:t>5. Novčana potraživanja – sporovi</w:t>
      </w:r>
    </w:p>
    <w:p w:rsidRDefault="00657EC3" w:rsidR="00657EC3">
      <w:pPr>
        <w:spacing w:after="0"/>
        <w:rPr>
          <w:rFonts w:hAnsi="Times New Roman" w:ascii="Times New Roman"/>
          <w:lang w:val="pl-PL"/>
        </w:rPr>
      </w:pPr>
    </w:p>
    <w:p w:rsidRDefault="0092730C" w:rsidR="00657EC3">
      <w:pPr>
        <w:jc w:val="both"/>
        <w:rPr>
          <w:rFonts w:hAnsi="Times New Roman" w:ascii="Times New Roman"/>
          <w:b/>
          <w:lang w:val="pl-PL"/>
        </w:rPr>
      </w:pPr>
      <w:r>
        <w:rPr>
          <w:rFonts w:hAnsi="Times New Roman" w:ascii="Times New Roman"/>
        </w:rPr>
        <w:t xml:space="preserve">Prema dostavljenoj dokumentaciji stečajnom upravitelju proizlazi da je u tijeku parnični postupak pred Trgovačkim sudom u Zagrebu, </w:t>
      </w:r>
      <w:proofErr w:type="spellStart"/>
      <w:r>
        <w:rPr>
          <w:rFonts w:hAnsi="Times New Roman" w:ascii="Times New Roman"/>
        </w:rPr>
        <w:t>posl</w:t>
      </w:r>
      <w:proofErr w:type="spellEnd"/>
      <w:r>
        <w:rPr>
          <w:rFonts w:hAnsi="Times New Roman" w:ascii="Times New Roman"/>
        </w:rPr>
        <w:t xml:space="preserve">. br. P-3820/12, u pravnoj stvari stečajnog dužnika kao tužitelja protiv tuženih SG GRADITELJSTVO d.o.o. iz Zagreba, Ilica 109,OIB 54566680973 i SG SJEVER 1978 d.o.o. iz Zagreba, Ilica 109, OIB 78737820823. Vrijednost predmeta spora iznosi 822.260,50 kn. Tužba je predana sudu 10.08.2012. </w:t>
      </w:r>
      <w:r>
        <w:rPr>
          <w:rFonts w:hAnsi="Times New Roman" w:ascii="Times New Roman"/>
          <w:lang w:val="pl-PL"/>
        </w:rPr>
        <w:t>Direktor stečajnog dužnika u tijeku parničnog postupka promijenio je više punomoćnika, tako da sam do dana održavanja izvještajnog ročišta prikupila samo dio dokumentacije vezano za spor. Izvršit će se uvid u spis i podnijeti sudu prijedlog za nastavak postupka.</w:t>
      </w:r>
    </w:p>
    <w:p w:rsidRDefault="00657EC3" w:rsidR="00657EC3">
      <w:pPr>
        <w:spacing w:after="0"/>
        <w:rPr>
          <w:rFonts w:hAnsi="Times New Roman" w:ascii="Times New Roman"/>
          <w:b/>
          <w:lang w:val="pl-PL"/>
        </w:rPr>
      </w:pPr>
    </w:p>
    <w:p w:rsidRDefault="00657EC3" w:rsidR="00657EC3">
      <w:pPr>
        <w:spacing w:after="0"/>
        <w:rPr>
          <w:rFonts w:hAnsi="Times New Roman" w:ascii="Times New Roman"/>
          <w:b/>
          <w:lang w:val="pl-PL"/>
        </w:rPr>
      </w:pPr>
    </w:p>
    <w:p w:rsidRDefault="0092730C" w:rsidR="00657EC3">
      <w:pPr>
        <w:spacing w:after="0"/>
        <w:rPr>
          <w:rFonts w:hAnsi="Times New Roman" w:ascii="Times New Roman"/>
          <w:lang w:val="pl-PL"/>
        </w:rPr>
      </w:pPr>
      <w:r>
        <w:rPr>
          <w:rFonts w:hAnsi="Times New Roman" w:ascii="Times New Roman"/>
          <w:b/>
          <w:bCs/>
          <w:lang w:val="pl-PL"/>
        </w:rPr>
        <w:t>6. Razlučna prava</w:t>
      </w:r>
    </w:p>
    <w:p w:rsidRDefault="00657EC3" w:rsidR="00657EC3">
      <w:pPr>
        <w:spacing w:after="0"/>
        <w:rPr>
          <w:rFonts w:hAnsi="Times New Roman" w:ascii="Times New Roman"/>
          <w:lang w:val="pl-PL"/>
        </w:rPr>
      </w:pPr>
    </w:p>
    <w:p w:rsidRDefault="0092730C" w:rsidR="00657EC3">
      <w:pPr>
        <w:spacing w:after="0"/>
        <w:rPr>
          <w:rFonts w:hAnsi="Times New Roman" w:ascii="Times New Roman"/>
        </w:rPr>
      </w:pPr>
      <w:r>
        <w:rPr>
          <w:rFonts w:hAnsi="Times New Roman" w:ascii="Times New Roman"/>
          <w:lang w:val="pl-PL"/>
        </w:rPr>
        <w:t>Razlučno pravo imaju vjerovnik H-ABDUCO d.o.o., OIB: 13667298928, Zagreb, Slavonska avenija 6A i vjerovnik Republika Hrvatska, Ministarstvo financija, Porezna uprava, Područni ured sjeverna Hrvatska, OIB: 52634238587, Čakovec, O. Keršovanija 11.</w:t>
      </w:r>
    </w:p>
    <w:p w:rsidRDefault="00657EC3" w:rsidR="00657EC3">
      <w:pPr>
        <w:spacing w:after="0"/>
        <w:rPr>
          <w:rFonts w:hAnsi="Times New Roman" w:ascii="Times New Roman"/>
        </w:rPr>
      </w:pPr>
    </w:p>
    <w:p w:rsidRDefault="0092730C" w:rsidR="00657EC3">
      <w:pPr>
        <w:spacing w:after="0"/>
        <w:rPr>
          <w:rFonts w:hAnsi="Times New Roman" w:ascii="Times New Roman"/>
        </w:rPr>
      </w:pPr>
      <w:r>
        <w:rPr>
          <w:rFonts w:hAnsi="Times New Roman" w:ascii="Times New Roman"/>
          <w:lang w:val="pl-PL"/>
        </w:rPr>
        <w:t xml:space="preserve">Oba vjerovnika svoje razlučno pravo imaju upisano istu javnu knijgu: Zemljišna knjiga Općinskog suda u Čakovcu, ZK odjel Čakovec, zk.ul.br. 6758 E, k.o. Čakovec, etažno vlasništvo s posebnim omjerima na k.č. 1134/26/1/2, upisane u AI i opisane kao stambeno-poslovna zgrada, dvor površine 633 čhv – 90. suvlasnički dio: 17/220 ETAŽNO VLASNIŠTVO (E-90) 1. stan D1 u prizemlju od 38,55 m2 </w:t>
      </w:r>
    </w:p>
    <w:p w:rsidRDefault="00657EC3" w:rsidR="00657EC3">
      <w:pPr>
        <w:spacing w:after="0"/>
        <w:rPr>
          <w:rFonts w:hAnsi="Times New Roman" w:ascii="Times New Roman"/>
        </w:rPr>
      </w:pPr>
    </w:p>
    <w:p w:rsidRDefault="0092730C" w:rsidR="00657EC3">
      <w:pPr>
        <w:spacing w:after="0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Vjerovnik H-ABDUCO d.o.o. svoje pravo temelji na Ugovoru o kreditu broj 145-51004189 sa sporazumom o osiguranju novčane tražbine od 05.05.2009., a vjerovnik Republika Hrvatska, Ministarstvo financija svoje pravo temelji na Rješenju o osiguranju Općinskog suda u Čakovcu br. Ov-718/11 od 19.05.2011.</w:t>
      </w:r>
    </w:p>
    <w:p w:rsidRDefault="00657EC3" w:rsidR="00657EC3">
      <w:pPr>
        <w:spacing w:after="0"/>
        <w:rPr>
          <w:rFonts w:hAnsi="Times New Roman" w:ascii="Times New Roman"/>
          <w:lang w:val="pl-PL"/>
        </w:rPr>
      </w:pPr>
    </w:p>
    <w:p w:rsidRDefault="00657EC3" w:rsidR="00657EC3">
      <w:pPr>
        <w:spacing w:after="0"/>
        <w:rPr>
          <w:rFonts w:hAnsi="Times New Roman" w:ascii="Times New Roman"/>
          <w:lang w:val="pl-PL"/>
        </w:rPr>
      </w:pPr>
    </w:p>
    <w:p w:rsidRDefault="0092730C" w:rsidR="00657EC3">
      <w:pPr>
        <w:spacing w:after="0"/>
        <w:rPr>
          <w:rFonts w:hAnsi="Times New Roman" w:ascii="Times New Roman"/>
          <w:lang w:val="pl-PL"/>
        </w:rPr>
      </w:pPr>
      <w:r>
        <w:rPr>
          <w:rFonts w:hAnsi="Times New Roman" w:ascii="Times New Roman"/>
          <w:b/>
          <w:bCs/>
          <w:lang w:val="pl-PL"/>
        </w:rPr>
        <w:t>7. Prijedlog odluka</w:t>
      </w:r>
    </w:p>
    <w:p w:rsidRDefault="00657EC3" w:rsidR="00657EC3">
      <w:pPr>
        <w:spacing w:after="0"/>
        <w:rPr>
          <w:rFonts w:hAnsi="Times New Roman" w:ascii="Times New Roman"/>
          <w:lang w:val="pl-PL"/>
        </w:rPr>
      </w:pPr>
    </w:p>
    <w:p w:rsidRDefault="0092730C" w:rsidR="00657EC3">
      <w:pPr>
        <w:rPr>
          <w:rFonts w:hAnsi="Times New Roman" w:ascii="Times New Roman"/>
        </w:rPr>
      </w:pPr>
      <w:r>
        <w:rPr>
          <w:rFonts w:hAnsi="Times New Roman" w:ascii="Times New Roman"/>
        </w:rPr>
        <w:t>Sukladno naprijed iznesenom, predlažem  da vjerovnici na ročištu donesu slijedeće odluke:</w:t>
      </w:r>
    </w:p>
    <w:p w:rsidRDefault="00657EC3" w:rsidR="00657EC3">
      <w:pPr>
        <w:rPr>
          <w:rFonts w:hAnsi="Times New Roman" w:ascii="Times New Roman"/>
        </w:rPr>
      </w:pPr>
    </w:p>
    <w:p w:rsidRDefault="0092730C" w:rsidR="00657EC3">
      <w:pPr>
        <w:spacing w:after="0"/>
        <w:rPr>
          <w:rFonts w:hAnsi="Times New Roman" w:ascii="Times New Roman"/>
        </w:rPr>
      </w:pPr>
      <w:r>
        <w:rPr>
          <w:rFonts w:hAnsi="Times New Roman" w:ascii="Times New Roman"/>
        </w:rPr>
        <w:t>1. Prihvaća se izvješće o gospodarskom položaju stečajnog dužnika i njegovim uzrocima</w:t>
      </w:r>
    </w:p>
    <w:p w:rsidRDefault="00657EC3" w:rsidR="00657EC3">
      <w:pPr>
        <w:spacing w:after="0"/>
        <w:rPr>
          <w:rFonts w:hAnsi="Times New Roman" w:ascii="Times New Roman"/>
        </w:rPr>
      </w:pPr>
    </w:p>
    <w:p w:rsidRDefault="0092730C" w:rsidR="00657EC3">
      <w:pPr>
        <w:spacing w:after="0"/>
        <w:rPr>
          <w:rFonts w:hAnsi="Times New Roman" w:ascii="Times New Roman"/>
        </w:rPr>
      </w:pPr>
      <w:r>
        <w:rPr>
          <w:rFonts w:hAnsi="Times New Roman" w:ascii="Times New Roman"/>
        </w:rPr>
        <w:t>2. Prihvaćaju se do sada poduzete radnje u stečajne upraviteljice</w:t>
      </w:r>
    </w:p>
    <w:p w:rsidRDefault="00657EC3" w:rsidR="00657EC3">
      <w:pPr>
        <w:spacing w:after="0"/>
        <w:rPr>
          <w:rFonts w:hAnsi="Times New Roman" w:ascii="Times New Roman"/>
        </w:rPr>
      </w:pPr>
    </w:p>
    <w:p w:rsidRDefault="0092730C" w:rsidR="00657EC3">
      <w:pPr>
        <w:spacing w:after="0"/>
        <w:rPr>
          <w:rFonts w:hAnsi="Times New Roman" w:ascii="Times New Roman"/>
        </w:rPr>
      </w:pPr>
      <w:r>
        <w:rPr>
          <w:rFonts w:hAnsi="Times New Roman" w:ascii="Times New Roman"/>
        </w:rPr>
        <w:t>3. Utvrđuje se da nema mogućnosti da se poslovanje stečajnog dužnika nastavi ili ponovo pokrene</w:t>
      </w:r>
    </w:p>
    <w:p w:rsidRDefault="00657EC3" w:rsidR="00657EC3">
      <w:pPr>
        <w:spacing w:after="0"/>
        <w:rPr>
          <w:rFonts w:hAnsi="Times New Roman" w:ascii="Times New Roman"/>
        </w:rPr>
      </w:pPr>
    </w:p>
    <w:p w:rsidRDefault="0092730C" w:rsidR="00657EC3">
      <w:pPr>
        <w:spacing w:after="0"/>
        <w:jc w:val="both"/>
        <w:rPr>
          <w:rFonts w:hAnsi="Times New Roman" w:ascii="Times New Roman"/>
        </w:rPr>
      </w:pPr>
      <w:r>
        <w:rPr>
          <w:rFonts w:hAnsi="Times New Roman" w:ascii="Times New Roman"/>
          <w:color w:val="000000"/>
        </w:rPr>
        <w:t>4. Daje se suglasnost stečajnoj upraviteljici da za sudske postupke koji su u tijeku, izda punomoć za zastupanje odvjetniku po svom izboru</w:t>
      </w:r>
    </w:p>
    <w:p w:rsidRDefault="00657EC3" w:rsidR="00657EC3">
      <w:pPr>
        <w:spacing w:after="0"/>
        <w:jc w:val="both"/>
        <w:rPr>
          <w:rFonts w:hAnsi="Times New Roman" w:ascii="Times New Roman"/>
        </w:rPr>
      </w:pPr>
    </w:p>
    <w:p w:rsidRDefault="0092730C" w:rsidR="00657EC3">
      <w:pPr>
        <w:spacing w:after="0"/>
        <w:jc w:val="both"/>
        <w:rPr>
          <w:rFonts w:hAnsi="Times New Roman" w:ascii="Times New Roman"/>
          <w:color w:val="000000"/>
        </w:rPr>
      </w:pPr>
      <w:r>
        <w:rPr>
          <w:rFonts w:hAnsi="Times New Roman" w:ascii="Times New Roman"/>
          <w:color w:val="000000"/>
        </w:rPr>
        <w:t xml:space="preserve">5. Da se pristupi prodaji nekretnine - STAN upisan u </w:t>
      </w:r>
      <w:r>
        <w:rPr>
          <w:rFonts w:hAnsi="Times New Roman" w:ascii="Times New Roman"/>
          <w:lang w:val="pl-PL"/>
        </w:rPr>
        <w:t>Zemljišnu knjiga Općinskog suda u Čakovcu, ZK odjel Čakovec, zk.ul.br. 6758 E, k.o. Čakovec, etažno vlasništvo s posebnim omjerima na k.č. 1134/26/1/2, upisane u AI i opisane kao stambeno-poslovna zgrada, dvor površine 633 čhv – 90. suvlasnički dio: 17/220 ETAŽNO VLASNIŠTVO (E-90) 1. stan D1 u prizemlju od 38,55 m2,</w:t>
      </w:r>
      <w:r>
        <w:rPr>
          <w:rFonts w:hAnsi="Times New Roman" w:ascii="Times New Roman"/>
          <w:color w:val="000000"/>
        </w:rPr>
        <w:t xml:space="preserve"> putem javne dražbe koju provodi FINA.</w:t>
      </w:r>
    </w:p>
    <w:p w:rsidRDefault="00657EC3" w:rsidR="00657EC3">
      <w:pPr>
        <w:pStyle w:val="WW-Default1"/>
        <w:tabs>
          <w:tab w:pos="1077" w:val="left"/>
        </w:tabs>
        <w:spacing w:lineRule="atLeast" w:line="200" w:after="0"/>
        <w:ind w:hanging="360" w:left="1077"/>
        <w:rPr>
          <w:rFonts w:hAnsi="Times New Roman" w:ascii="Times New Roman"/>
          <w:szCs w:val="22"/>
        </w:rPr>
      </w:pPr>
    </w:p>
    <w:p w:rsidRDefault="00657EC3" w:rsidR="00657EC3">
      <w:pPr>
        <w:pStyle w:val="WW-Default1"/>
        <w:tabs>
          <w:tab w:pos="1077" w:val="left"/>
        </w:tabs>
        <w:spacing w:lineRule="atLeast" w:line="200" w:after="0"/>
        <w:ind w:hanging="360" w:left="1077"/>
        <w:rPr>
          <w:rFonts w:hAnsi="Times New Roman" w:ascii="Times New Roman"/>
          <w:szCs w:val="22"/>
        </w:rPr>
      </w:pPr>
    </w:p>
    <w:p w:rsidRDefault="00657EC3" w:rsidR="00657EC3">
      <w:pPr>
        <w:spacing w:after="0"/>
        <w:rPr>
          <w:rFonts w:hAnsi="Times New Roman" w:ascii="Times New Roman"/>
          <w:color w:val="000000"/>
          <w:lang w:val="pl-PL"/>
        </w:rPr>
      </w:pPr>
    </w:p>
    <w:p w:rsidRDefault="0092730C" w:rsidR="00657EC3">
      <w:pPr>
        <w:spacing w:after="0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Mjesto i datum </w:t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  <w:t>Stečajni upravitelj</w:t>
      </w:r>
    </w:p>
    <w:p w:rsidRDefault="0092730C" w:rsidR="00657EC3">
      <w:pPr>
        <w:spacing w:after="0"/>
        <w:rPr>
          <w:rFonts w:hAnsi="Times New Roman" w:ascii="Times New Roman"/>
        </w:rPr>
      </w:pPr>
      <w:r>
        <w:rPr>
          <w:rFonts w:hAnsi="Times New Roman" w:ascii="Times New Roman"/>
          <w:lang w:val="pl-PL"/>
        </w:rPr>
        <w:t>Čakovec, 14.02.2017.</w:t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  <w:t>Vesna Baranašić Horvat</w:t>
      </w:r>
    </w:p>
    <w:p w:rsidRDefault="00657EC3" w:rsidR="00657EC3">
      <w:pPr>
        <w:spacing w:after="0"/>
        <w:rPr>
          <w:rFonts w:hAnsi="Times New Roman" w:ascii="Times New Roman"/>
        </w:rPr>
      </w:pPr>
    </w:p>
    <w:sectPr w:rsidR="00657EC3">
      <w:pgSz w:h="16838" w:w="11906"/>
      <w:pgMar w:gutter="0" w:footer="720" w:header="720" w:left="1417" w:bottom="1417" w:right="1417" w:top="1417"/>
      <w:cols w:space="720"/>
      <w:docGrid w:charSpace="-2458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font343">
    <w:charset w:val="EE"/>
    <w:family w:val="auto"/>
    <w:pitch w:val="variable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lvl w:ilvl="0">
      <w:start w:val="1"/>
      <w:numFmt w:val="none"/>
      <w:pStyle w:val="Naslov1"/>
      <w:suff w:val="nothing"/>
      <w:lvlText w:val=""/>
      <w:lvlJc w:val="left"/>
      <w:pPr>
        <w:tabs>
          <w:tab w:pos="0" w:val="num"/>
        </w:tabs>
        <w:ind w:hanging="432" w:left="432"/>
      </w:pPr>
    </w:lvl>
    <w:lvl w:ilvl="1">
      <w:start w:val="1"/>
      <w:numFmt w:val="none"/>
      <w:pStyle w:val="Naslov2"/>
      <w:suff w:val="nothing"/>
      <w:lvlText w:val=""/>
      <w:lvlJc w:val="left"/>
      <w:pPr>
        <w:tabs>
          <w:tab w:pos="0" w:val="num"/>
        </w:tabs>
        <w:ind w:hanging="576" w:left="576"/>
      </w:pPr>
    </w:lvl>
    <w:lvl w:ilvl="2">
      <w:start w:val="1"/>
      <w:numFmt w:val="none"/>
      <w:pStyle w:val="Naslov3"/>
      <w:suff w:val="nothing"/>
      <w:lvlText w:val=""/>
      <w:lvlJc w:val="left"/>
      <w:pPr>
        <w:tabs>
          <w:tab w:pos="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Ansi="Times New Roman" w:ascii="Times New Roman"/>
        <w:sz w:val="22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 w:hAnsi="Times New Roman" w:ascii="Times New Roman"/>
        <w:sz w:val="22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 w:hAnsi="Times New Roman" w:ascii="Times New Roman"/>
        <w:sz w:val="22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 w:hAnsi="Times New Roman" w:ascii="Times New Roman"/>
        <w:sz w:val="22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 w:hAnsi="Times New Roman" w:ascii="Times New Roman"/>
        <w:sz w:val="22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 w:hAnsi="Times New Roman" w:ascii="Times New Roman"/>
        <w:sz w:val="22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 w:hAnsi="Times New Roman" w:ascii="Times New Roman"/>
        <w:sz w:val="22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 w:hAnsi="Times New Roman" w:ascii="Times New Roman"/>
        <w:sz w:val="22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 w:hAnsi="Times New Roman" w:ascii="Times New Roman"/>
        <w:sz w:val="22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embedSystemFonts/>
  <w:proofState w:grammar="clean" w:spelling="clean"/>
  <w:attachedTemplate r:id="rId1"/>
  <w:stylePaneFormatFilter w:val="0000"/>
  <w:defaultTabStop w:val="720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43A8B"/>
    <w:rsid w:val="00657EC3"/>
    <w:rsid w:val="0092730C"/>
    <w:rsid w:val="009A32C1"/>
    <w:rsid w:val="00E43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nhideWhenUsed="false" w:semiHidden="false" w:uiPriority="9" w:name="heading 2"/>
    <w:lsdException w:qFormat="true" w:unhideWhenUsed="false" w:semiHidden="fals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nhideWhenUsed="false" w:semiHidden="fals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uppressAutoHyphens/>
      <w:spacing w:after="80"/>
    </w:pPr>
    <w:rPr>
      <w:rFonts w:eastAsia="Calibri" w:hAnsi="Calibri" w:ascii="Calibri"/>
      <w:color w:val="00000A"/>
      <w:kern w:val="1"/>
      <w:sz w:val="22"/>
      <w:szCs w:val="22"/>
      <w:lang w:eastAsia="en-US"/>
    </w:rPr>
  </w:style>
  <w:style w:styleId="Naslov1" w:type="paragraph">
    <w:name w:val="heading 1"/>
    <w:basedOn w:val="Stilnaslova"/>
    <w:next w:val="Tijeloteksta"/>
    <w:qFormat/>
    <w:pPr>
      <w:numPr>
        <w:numId w:val="1"/>
      </w:numPr>
      <w:outlineLvl w:val="0"/>
    </w:pPr>
  </w:style>
  <w:style w:styleId="Naslov2" w:type="paragraph">
    <w:name w:val="heading 2"/>
    <w:basedOn w:val="Stilnaslova"/>
    <w:next w:val="Tijeloteksta"/>
    <w:qFormat/>
    <w:pPr>
      <w:numPr>
        <w:ilvl w:val="1"/>
        <w:numId w:val="1"/>
      </w:numPr>
      <w:outlineLvl w:val="1"/>
    </w:pPr>
  </w:style>
  <w:style w:styleId="Naslov3" w:type="paragraph">
    <w:name w:val="heading 3"/>
    <w:basedOn w:val="Stilnaslova"/>
    <w:next w:val="Tijeloteksta"/>
    <w:qFormat/>
    <w:pPr>
      <w:numPr>
        <w:ilvl w:val="2"/>
        <w:numId w:val="1"/>
      </w:numPr>
      <w:outlineLvl w:val="2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WW8Num1z0" w:type="character">
    <w:name w:val="WW8Num1z0"/>
  </w:style>
  <w:style w:customStyle="true" w:styleId="WW8Num1z1" w:type="character">
    <w:name w:val="WW8Num1z1"/>
  </w:style>
  <w:style w:customStyle="true" w:styleId="WW8Num1z2" w:type="character">
    <w:name w:val="WW8Num1z2"/>
  </w:style>
  <w:style w:customStyle="true" w:styleId="WW8Num1z3" w:type="character">
    <w:name w:val="WW8Num1z3"/>
  </w:style>
  <w:style w:customStyle="true" w:styleId="WW8Num1z4" w:type="character">
    <w:name w:val="WW8Num1z4"/>
  </w:style>
  <w:style w:customStyle="true" w:styleId="WW8Num1z5" w:type="character">
    <w:name w:val="WW8Num1z5"/>
  </w:style>
  <w:style w:customStyle="true" w:styleId="WW8Num1z6" w:type="character">
    <w:name w:val="WW8Num1z6"/>
  </w:style>
  <w:style w:customStyle="true" w:styleId="WW8Num1z7" w:type="character">
    <w:name w:val="WW8Num1z7"/>
  </w:style>
  <w:style w:customStyle="true" w:styleId="WW8Num1z8" w:type="character">
    <w:name w:val="WW8Num1z8"/>
  </w:style>
  <w:style w:customStyle="true" w:styleId="WW8Num2z0" w:type="character">
    <w:name w:val="WW8Num2z0"/>
    <w:rPr>
      <w:rFonts w:cs="Times New Roman" w:hAnsi="Times New Roman" w:ascii="Times New Roman"/>
      <w:sz w:val="22"/>
    </w:rPr>
  </w:style>
  <w:style w:customStyle="true" w:styleId="WW8Num3z0" w:type="character">
    <w:name w:val="WW8Num3z0"/>
    <w:rPr>
      <w:rFonts w:cs="Times New Roman" w:hAnsi="Times New Roman" w:ascii="Times New Roman"/>
      <w:sz w:val="22"/>
      <w:szCs w:val="22"/>
    </w:rPr>
  </w:style>
  <w:style w:customStyle="true" w:styleId="WW8Num3z1" w:type="character">
    <w:name w:val="WW8Num3z1"/>
  </w:style>
  <w:style w:customStyle="true" w:styleId="WW8Num3z2" w:type="character">
    <w:name w:val="WW8Num3z2"/>
  </w:style>
  <w:style w:customStyle="true" w:styleId="WW8Num3z3" w:type="character">
    <w:name w:val="WW8Num3z3"/>
  </w:style>
  <w:style w:customStyle="true" w:styleId="WW8Num3z4" w:type="character">
    <w:name w:val="WW8Num3z4"/>
  </w:style>
  <w:style w:customStyle="true" w:styleId="WW8Num3z5" w:type="character">
    <w:name w:val="WW8Num3z5"/>
  </w:style>
  <w:style w:customStyle="true" w:styleId="WW8Num3z6" w:type="character">
    <w:name w:val="WW8Num3z6"/>
  </w:style>
  <w:style w:customStyle="true" w:styleId="WW8Num3z7" w:type="character">
    <w:name w:val="WW8Num3z7"/>
  </w:style>
  <w:style w:customStyle="true" w:styleId="WW8Num3z8" w:type="character">
    <w:name w:val="WW8Num3z8"/>
  </w:style>
  <w:style w:customStyle="true" w:styleId="WW8Num2z1" w:type="character">
    <w:name w:val="WW8Num2z1"/>
  </w:style>
  <w:style w:customStyle="true" w:styleId="WW8Num2z2" w:type="character">
    <w:name w:val="WW8Num2z2"/>
  </w:style>
  <w:style w:customStyle="true" w:styleId="WW8Num2z3" w:type="character">
    <w:name w:val="WW8Num2z3"/>
  </w:style>
  <w:style w:customStyle="true" w:styleId="WW8Num2z4" w:type="character">
    <w:name w:val="WW8Num2z4"/>
  </w:style>
  <w:style w:customStyle="true" w:styleId="WW8Num2z5" w:type="character">
    <w:name w:val="WW8Num2z5"/>
  </w:style>
  <w:style w:customStyle="true" w:styleId="WW8Num2z6" w:type="character">
    <w:name w:val="WW8Num2z6"/>
  </w:style>
  <w:style w:customStyle="true" w:styleId="WW8Num2z7" w:type="character">
    <w:name w:val="WW8Num2z7"/>
  </w:style>
  <w:style w:customStyle="true" w:styleId="WW8Num2z8" w:type="character">
    <w:name w:val="WW8Num2z8"/>
  </w:style>
  <w:style w:customStyle="true" w:styleId="Zadanifontodlomka1" w:type="character">
    <w:name w:val="Zadani font odlomka1"/>
  </w:style>
  <w:style w:customStyle="true" w:styleId="ListLabel1" w:type="character">
    <w:name w:val="ListLabel 1"/>
    <w:rPr>
      <w:rFonts w:cs="Times New Roman" w:hAnsi="Times New Roman" w:ascii="Times New Roman"/>
      <w:sz w:val="24"/>
    </w:rPr>
  </w:style>
  <w:style w:customStyle="true" w:styleId="ListLabel2" w:type="character">
    <w:name w:val="ListLabel 2"/>
    <w:rPr>
      <w:rFonts w:cs="Times New Roman" w:hAnsi="Times New Roman" w:ascii="Times New Roman"/>
      <w:sz w:val="22"/>
    </w:rPr>
  </w:style>
  <w:style w:customStyle="true" w:styleId="ListLabel3" w:type="character">
    <w:name w:val="ListLabel 3"/>
    <w:rPr>
      <w:rFonts w:cs="Times New Roman" w:hAnsi="Times New Roman" w:ascii="Times New Roman"/>
      <w:sz w:val="22"/>
    </w:rPr>
  </w:style>
  <w:style w:customStyle="true" w:styleId="WW8Num16z0" w:type="character">
    <w:name w:val="WW8Num16z0"/>
    <w:rPr>
      <w:rFonts w:cs="Arial Narrow" w:hint="default"/>
    </w:rPr>
  </w:style>
  <w:style w:customStyle="true" w:styleId="WW8Num16z1" w:type="character">
    <w:name w:val="WW8Num16z1"/>
  </w:style>
  <w:style w:customStyle="true" w:styleId="WW8Num16z2" w:type="character">
    <w:name w:val="WW8Num16z2"/>
  </w:style>
  <w:style w:customStyle="true" w:styleId="WW8Num16z3" w:type="character">
    <w:name w:val="WW8Num16z3"/>
  </w:style>
  <w:style w:customStyle="true" w:styleId="WW8Num16z4" w:type="character">
    <w:name w:val="WW8Num16z4"/>
  </w:style>
  <w:style w:customStyle="true" w:styleId="WW8Num16z5" w:type="character">
    <w:name w:val="WW8Num16z5"/>
  </w:style>
  <w:style w:customStyle="true" w:styleId="WW8Num16z6" w:type="character">
    <w:name w:val="WW8Num16z6"/>
  </w:style>
  <w:style w:customStyle="true" w:styleId="WW8Num16z7" w:type="character">
    <w:name w:val="WW8Num16z7"/>
  </w:style>
  <w:style w:customStyle="true" w:styleId="WW8Num16z8" w:type="character">
    <w:name w:val="WW8Num16z8"/>
  </w:style>
  <w:style w:customStyle="true" w:styleId="Stilnaslova" w:type="paragraph">
    <w:name w:val="Stil naslova"/>
    <w:basedOn w:val="Normal"/>
    <w:next w:val="Tijeloteksta"/>
    <w:pPr>
      <w:keepNext/>
      <w:spacing w:after="120" w:before="240"/>
    </w:pPr>
    <w:rPr>
      <w:rFonts w:cs="Arial" w:eastAsia="Microsoft YaHei" w:hAnsi="Liberation Sans" w:ascii="Liberation Sans"/>
      <w:sz w:val="28"/>
      <w:szCs w:val="28"/>
    </w:rPr>
  </w:style>
  <w:style w:styleId="Tijeloteksta" w:type="paragraph">
    <w:name w:val="Body Text"/>
    <w:basedOn w:val="Normal"/>
    <w:pPr>
      <w:spacing w:lineRule="auto" w:line="288" w:after="140"/>
    </w:pPr>
  </w:style>
  <w:style w:styleId="Popis" w:type="paragraph">
    <w:name w:val="List"/>
    <w:basedOn w:val="Tijeloteksta"/>
    <w:rPr>
      <w:rFonts w:cs="Arial"/>
    </w:rPr>
  </w:style>
  <w:style w:styleId="Opisslike" w:type="paragraph">
    <w:name w:val="caption"/>
    <w:basedOn w:val="Normal"/>
    <w:qFormat/>
    <w:pPr>
      <w:suppressLineNumbers/>
      <w:spacing w:after="120" w:before="120"/>
    </w:pPr>
    <w:rPr>
      <w:rFonts w:cs="Arial"/>
      <w:i/>
      <w:iCs/>
      <w:sz w:val="24"/>
      <w:szCs w:val="24"/>
    </w:rPr>
  </w:style>
  <w:style w:customStyle="true" w:styleId="Indeks" w:type="paragraph">
    <w:name w:val="Indeks"/>
    <w:basedOn w:val="Normal"/>
    <w:pPr>
      <w:suppressLineNumbers/>
    </w:pPr>
    <w:rPr>
      <w:rFonts w:cs="Arial"/>
    </w:rPr>
  </w:style>
  <w:style w:customStyle="true" w:styleId="Citati" w:type="paragraph">
    <w:name w:val="Citati"/>
    <w:basedOn w:val="Normal"/>
  </w:style>
  <w:style w:styleId="Naslov" w:type="paragraph">
    <w:name w:val="Title"/>
    <w:basedOn w:val="Stilnaslova"/>
    <w:next w:val="Tijeloteksta"/>
    <w:qFormat/>
  </w:style>
  <w:style w:styleId="Podnaslov" w:type="paragraph">
    <w:name w:val="Subtitle"/>
    <w:basedOn w:val="Stilnaslova"/>
    <w:next w:val="Tijeloteksta"/>
    <w:qFormat/>
  </w:style>
  <w:style w:customStyle="true" w:styleId="WW-Default1" w:type="paragraph">
    <w:name w:val="WW-Default1"/>
    <w:pPr>
      <w:widowControl w:val="false"/>
      <w:suppressAutoHyphens/>
      <w:spacing w:lineRule="auto" w:line="276" w:after="200"/>
    </w:pPr>
    <w:rPr>
      <w:rFonts w:hAnsi="Calibri" w:ascii="Calibri"/>
      <w:color w:val="000000"/>
      <w:kern w:val="1"/>
      <w:sz w:val="22"/>
      <w:szCs w:val="24"/>
      <w:lang w:eastAsia="hi-IN"/>
    </w:rPr>
  </w:style>
  <w:style w:customStyle="true" w:styleId="Odlomakpopisa1" w:type="paragraph">
    <w:name w:val="Odlomak popisa1"/>
    <w:basedOn w:val="WW-Default1"/>
    <w:pPr>
      <w:spacing w:lineRule="atLeast" w:line="200" w:after="0"/>
      <w:ind w:left="720"/>
    </w:pPr>
    <w:rPr>
      <w:sz w:val="24"/>
      <w:lang w:eastAsia="zh-CN"/>
    </w:rPr>
  </w:style>
  <w:style w:customStyle="true" w:styleId="Default" w:type="paragraph">
    <w:name w:val="Default"/>
    <w:pPr>
      <w:widowControl w:val="false"/>
      <w:suppressAutoHyphens/>
      <w:spacing w:lineRule="auto" w:line="276" w:after="200"/>
    </w:pPr>
    <w:rPr>
      <w:rFonts w:cs="font343" w:eastAsia="SimSun"/>
      <w:color w:val="000000"/>
      <w:kern w:val="1"/>
      <w:sz w:val="24"/>
      <w:szCs w:val="22"/>
      <w:lang w:eastAsia="zh-CN"/>
    </w:rPr>
  </w:style>
  <w:style w:customStyle="true" w:styleId="Sadrajitablice" w:type="paragraph">
    <w:name w:val="Sadržaji tablice"/>
    <w:basedOn w:val="Normal"/>
    <w:pPr>
      <w:suppressLineNumbers/>
    </w:pPr>
  </w:style>
  <w:style w:customStyle="true" w:styleId="Naslovtablice" w:type="paragraph">
    <w:name w:val="Naslov tablice"/>
    <w:basedOn w:val="Sadrajitablice"/>
    <w:pPr>
      <w:jc w:val="center"/>
    </w:pPr>
    <w:rPr>
      <w:b/>
      <w:bCs/>
    </w:rPr>
  </w:style>
  <w:style w:customStyle="true" w:styleId="Bezproreda1" w:type="paragraph">
    <w:name w:val="Bez proreda1"/>
    <w:pPr>
      <w:suppressAutoHyphens/>
      <w:spacing w:after="80"/>
    </w:pPr>
    <w:rPr>
      <w:rFonts w:hAnsi="Calibri" w:ascii="Calibri"/>
      <w:color w:val="00000A"/>
      <w:sz w:val="22"/>
      <w:szCs w:val="22"/>
      <w:lang w:eastAsia="en-US"/>
    </w:rPr>
  </w:style>
  <w:style w:styleId="Odlomakpopisa" w:type="paragraph">
    <w:name w:val="List Paragraph"/>
    <w:basedOn w:val="Normal"/>
    <w:qFormat/>
    <w:pPr>
      <w:spacing w:after="0"/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A32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32C1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32C1"/>
    <w:rPr>
      <w:rFonts w:hAnsi="Times New Roman" w:ascii="Times New Roman"/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32C1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32C1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uppressAutoHyphens/>
      <w:spacing w:after="80"/>
    </w:pPr>
    <w:rPr>
      <w:rFonts w:ascii="Calibri" w:eastAsia="Calibri" w:hAnsi="Calibri"/>
      <w:color w:val="00000A"/>
      <w:kern w:val="1"/>
      <w:sz w:val="22"/>
      <w:szCs w:val="22"/>
      <w:lang w:eastAsia="en-US"/>
    </w:rPr>
  </w:style>
  <w:style w:styleId="Naslov1" w:type="paragraph">
    <w:name w:val="heading 1"/>
    <w:basedOn w:val="Stilnaslova"/>
    <w:next w:val="Tijeloteksta"/>
    <w:qFormat/>
    <w:pPr>
      <w:numPr>
        <w:numId w:val="1"/>
      </w:numPr>
      <w:outlineLvl w:val="0"/>
    </w:pPr>
  </w:style>
  <w:style w:styleId="Naslov2" w:type="paragraph">
    <w:name w:val="heading 2"/>
    <w:basedOn w:val="Stilnaslova"/>
    <w:next w:val="Tijeloteksta"/>
    <w:qFormat/>
    <w:pPr>
      <w:numPr>
        <w:ilvl w:val="1"/>
        <w:numId w:val="1"/>
      </w:numPr>
      <w:outlineLvl w:val="1"/>
    </w:pPr>
  </w:style>
  <w:style w:styleId="Naslov3" w:type="paragraph">
    <w:name w:val="heading 3"/>
    <w:basedOn w:val="Stilnaslova"/>
    <w:next w:val="Tijeloteksta"/>
    <w:qFormat/>
    <w:pPr>
      <w:numPr>
        <w:ilvl w:val="2"/>
        <w:numId w:val="1"/>
      </w:numPr>
      <w:outlineLvl w:val="2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WW8Num1z0" w:type="character">
    <w:name w:val="WW8Num1z0"/>
  </w:style>
  <w:style w:customStyle="1" w:styleId="WW8Num1z1" w:type="character">
    <w:name w:val="WW8Num1z1"/>
  </w:style>
  <w:style w:customStyle="1" w:styleId="WW8Num1z2" w:type="character">
    <w:name w:val="WW8Num1z2"/>
  </w:style>
  <w:style w:customStyle="1" w:styleId="WW8Num1z3" w:type="character">
    <w:name w:val="WW8Num1z3"/>
  </w:style>
  <w:style w:customStyle="1" w:styleId="WW8Num1z4" w:type="character">
    <w:name w:val="WW8Num1z4"/>
  </w:style>
  <w:style w:customStyle="1" w:styleId="WW8Num1z5" w:type="character">
    <w:name w:val="WW8Num1z5"/>
  </w:style>
  <w:style w:customStyle="1" w:styleId="WW8Num1z6" w:type="character">
    <w:name w:val="WW8Num1z6"/>
  </w:style>
  <w:style w:customStyle="1" w:styleId="WW8Num1z7" w:type="character">
    <w:name w:val="WW8Num1z7"/>
  </w:style>
  <w:style w:customStyle="1" w:styleId="WW8Num1z8" w:type="character">
    <w:name w:val="WW8Num1z8"/>
  </w:style>
  <w:style w:customStyle="1" w:styleId="WW8Num2z0" w:type="character">
    <w:name w:val="WW8Num2z0"/>
    <w:rPr>
      <w:rFonts w:ascii="Times New Roman" w:cs="Times New Roman" w:hAnsi="Times New Roman"/>
      <w:sz w:val="22"/>
    </w:rPr>
  </w:style>
  <w:style w:customStyle="1" w:styleId="WW8Num3z0" w:type="character">
    <w:name w:val="WW8Num3z0"/>
    <w:rPr>
      <w:rFonts w:ascii="Times New Roman" w:cs="Times New Roman" w:hAnsi="Times New Roman"/>
      <w:sz w:val="22"/>
      <w:szCs w:val="22"/>
    </w:rPr>
  </w:style>
  <w:style w:customStyle="1" w:styleId="WW8Num3z1" w:type="character">
    <w:name w:val="WW8Num3z1"/>
  </w:style>
  <w:style w:customStyle="1" w:styleId="WW8Num3z2" w:type="character">
    <w:name w:val="WW8Num3z2"/>
  </w:style>
  <w:style w:customStyle="1" w:styleId="WW8Num3z3" w:type="character">
    <w:name w:val="WW8Num3z3"/>
  </w:style>
  <w:style w:customStyle="1" w:styleId="WW8Num3z4" w:type="character">
    <w:name w:val="WW8Num3z4"/>
  </w:style>
  <w:style w:customStyle="1" w:styleId="WW8Num3z5" w:type="character">
    <w:name w:val="WW8Num3z5"/>
  </w:style>
  <w:style w:customStyle="1" w:styleId="WW8Num3z6" w:type="character">
    <w:name w:val="WW8Num3z6"/>
  </w:style>
  <w:style w:customStyle="1" w:styleId="WW8Num3z7" w:type="character">
    <w:name w:val="WW8Num3z7"/>
  </w:style>
  <w:style w:customStyle="1" w:styleId="WW8Num3z8" w:type="character">
    <w:name w:val="WW8Num3z8"/>
  </w:style>
  <w:style w:customStyle="1" w:styleId="WW8Num2z1" w:type="character">
    <w:name w:val="WW8Num2z1"/>
  </w:style>
  <w:style w:customStyle="1" w:styleId="WW8Num2z2" w:type="character">
    <w:name w:val="WW8Num2z2"/>
  </w:style>
  <w:style w:customStyle="1" w:styleId="WW8Num2z3" w:type="character">
    <w:name w:val="WW8Num2z3"/>
  </w:style>
  <w:style w:customStyle="1" w:styleId="WW8Num2z4" w:type="character">
    <w:name w:val="WW8Num2z4"/>
  </w:style>
  <w:style w:customStyle="1" w:styleId="WW8Num2z5" w:type="character">
    <w:name w:val="WW8Num2z5"/>
  </w:style>
  <w:style w:customStyle="1" w:styleId="WW8Num2z6" w:type="character">
    <w:name w:val="WW8Num2z6"/>
  </w:style>
  <w:style w:customStyle="1" w:styleId="WW8Num2z7" w:type="character">
    <w:name w:val="WW8Num2z7"/>
  </w:style>
  <w:style w:customStyle="1" w:styleId="WW8Num2z8" w:type="character">
    <w:name w:val="WW8Num2z8"/>
  </w:style>
  <w:style w:customStyle="1" w:styleId="Zadanifontodlomka1" w:type="character">
    <w:name w:val="Zadani font odlomka1"/>
  </w:style>
  <w:style w:customStyle="1" w:styleId="ListLabel1" w:type="character">
    <w:name w:val="ListLabel 1"/>
    <w:rPr>
      <w:rFonts w:ascii="Times New Roman" w:cs="Times New Roman" w:hAnsi="Times New Roman"/>
      <w:sz w:val="24"/>
    </w:rPr>
  </w:style>
  <w:style w:customStyle="1" w:styleId="ListLabel2" w:type="character">
    <w:name w:val="ListLabel 2"/>
    <w:rPr>
      <w:rFonts w:ascii="Times New Roman" w:cs="Times New Roman" w:hAnsi="Times New Roman"/>
      <w:sz w:val="22"/>
    </w:rPr>
  </w:style>
  <w:style w:customStyle="1" w:styleId="ListLabel3" w:type="character">
    <w:name w:val="ListLabel 3"/>
    <w:rPr>
      <w:rFonts w:ascii="Times New Roman" w:cs="Times New Roman" w:hAnsi="Times New Roman"/>
      <w:sz w:val="22"/>
    </w:rPr>
  </w:style>
  <w:style w:customStyle="1" w:styleId="WW8Num16z0" w:type="character">
    <w:name w:val="WW8Num16z0"/>
    <w:rPr>
      <w:rFonts w:cs="Arial Narrow" w:hint="default"/>
    </w:rPr>
  </w:style>
  <w:style w:customStyle="1" w:styleId="WW8Num16z1" w:type="character">
    <w:name w:val="WW8Num16z1"/>
  </w:style>
  <w:style w:customStyle="1" w:styleId="WW8Num16z2" w:type="character">
    <w:name w:val="WW8Num16z2"/>
  </w:style>
  <w:style w:customStyle="1" w:styleId="WW8Num16z3" w:type="character">
    <w:name w:val="WW8Num16z3"/>
  </w:style>
  <w:style w:customStyle="1" w:styleId="WW8Num16z4" w:type="character">
    <w:name w:val="WW8Num16z4"/>
  </w:style>
  <w:style w:customStyle="1" w:styleId="WW8Num16z5" w:type="character">
    <w:name w:val="WW8Num16z5"/>
  </w:style>
  <w:style w:customStyle="1" w:styleId="WW8Num16z6" w:type="character">
    <w:name w:val="WW8Num16z6"/>
  </w:style>
  <w:style w:customStyle="1" w:styleId="WW8Num16z7" w:type="character">
    <w:name w:val="WW8Num16z7"/>
  </w:style>
  <w:style w:customStyle="1" w:styleId="WW8Num16z8" w:type="character">
    <w:name w:val="WW8Num16z8"/>
  </w:style>
  <w:style w:customStyle="1" w:styleId="Stilnaslova" w:type="paragraph">
    <w:name w:val="Stil naslova"/>
    <w:basedOn w:val="Normal"/>
    <w:next w:val="Tijeloteksta"/>
    <w:pPr>
      <w:keepNext/>
      <w:spacing w:after="120" w:before="240"/>
    </w:pPr>
    <w:rPr>
      <w:rFonts w:ascii="Liberation Sans" w:cs="Arial" w:eastAsia="Microsoft YaHei" w:hAnsi="Liberation Sans"/>
      <w:sz w:val="28"/>
      <w:szCs w:val="28"/>
    </w:rPr>
  </w:style>
  <w:style w:styleId="Tijeloteksta" w:type="paragraph">
    <w:name w:val="Body Text"/>
    <w:basedOn w:val="Normal"/>
    <w:pPr>
      <w:spacing w:after="140" w:line="288" w:lineRule="auto"/>
    </w:pPr>
  </w:style>
  <w:style w:styleId="Popis" w:type="paragraph">
    <w:name w:val="List"/>
    <w:basedOn w:val="Tijeloteksta"/>
    <w:rPr>
      <w:rFonts w:cs="Arial"/>
    </w:rPr>
  </w:style>
  <w:style w:styleId="Opisslike" w:type="paragraph">
    <w:name w:val="caption"/>
    <w:basedOn w:val="Normal"/>
    <w:qFormat/>
    <w:pPr>
      <w:suppressLineNumbers/>
      <w:spacing w:after="120" w:before="120"/>
    </w:pPr>
    <w:rPr>
      <w:rFonts w:cs="Arial"/>
      <w:i/>
      <w:iCs/>
      <w:sz w:val="24"/>
      <w:szCs w:val="24"/>
    </w:rPr>
  </w:style>
  <w:style w:customStyle="1" w:styleId="Indeks" w:type="paragraph">
    <w:name w:val="Indeks"/>
    <w:basedOn w:val="Normal"/>
    <w:pPr>
      <w:suppressLineNumbers/>
    </w:pPr>
    <w:rPr>
      <w:rFonts w:cs="Arial"/>
    </w:rPr>
  </w:style>
  <w:style w:customStyle="1" w:styleId="Citati" w:type="paragraph">
    <w:name w:val="Citati"/>
    <w:basedOn w:val="Normal"/>
  </w:style>
  <w:style w:styleId="Naslov" w:type="paragraph">
    <w:name w:val="Title"/>
    <w:basedOn w:val="Stilnaslova"/>
    <w:next w:val="Tijeloteksta"/>
    <w:qFormat/>
  </w:style>
  <w:style w:styleId="Podnaslov" w:type="paragraph">
    <w:name w:val="Subtitle"/>
    <w:basedOn w:val="Stilnaslova"/>
    <w:next w:val="Tijeloteksta"/>
    <w:qFormat/>
  </w:style>
  <w:style w:customStyle="1" w:styleId="WW-Default1" w:type="paragraph">
    <w:name w:val="WW-Default1"/>
    <w:pPr>
      <w:widowControl w:val="0"/>
      <w:suppressAutoHyphens/>
      <w:spacing w:after="200" w:line="276" w:lineRule="auto"/>
    </w:pPr>
    <w:rPr>
      <w:rFonts w:ascii="Calibri" w:hAnsi="Calibri"/>
      <w:color w:val="000000"/>
      <w:kern w:val="1"/>
      <w:sz w:val="22"/>
      <w:szCs w:val="24"/>
      <w:lang w:eastAsia="hi-IN"/>
    </w:rPr>
  </w:style>
  <w:style w:customStyle="1" w:styleId="Odlomakpopisa1" w:type="paragraph">
    <w:name w:val="Odlomak popisa1"/>
    <w:basedOn w:val="WW-Default1"/>
    <w:pPr>
      <w:spacing w:after="0" w:line="200" w:lineRule="atLeast"/>
      <w:ind w:left="720"/>
    </w:pPr>
    <w:rPr>
      <w:sz w:val="24"/>
      <w:lang w:eastAsia="zh-CN"/>
    </w:rPr>
  </w:style>
  <w:style w:customStyle="1" w:styleId="Default" w:type="paragraph">
    <w:name w:val="Default"/>
    <w:pPr>
      <w:widowControl w:val="0"/>
      <w:suppressAutoHyphens/>
      <w:spacing w:after="200" w:line="276" w:lineRule="auto"/>
    </w:pPr>
    <w:rPr>
      <w:rFonts w:cs="font343" w:eastAsia="SimSun"/>
      <w:color w:val="000000"/>
      <w:kern w:val="1"/>
      <w:sz w:val="24"/>
      <w:szCs w:val="22"/>
      <w:lang w:eastAsia="zh-CN"/>
    </w:rPr>
  </w:style>
  <w:style w:customStyle="1" w:styleId="Sadrajitablice" w:type="paragraph">
    <w:name w:val="Sadržaji tablice"/>
    <w:basedOn w:val="Normal"/>
    <w:pPr>
      <w:suppressLineNumbers/>
    </w:pPr>
  </w:style>
  <w:style w:customStyle="1" w:styleId="Naslovtablice" w:type="paragraph">
    <w:name w:val="Naslov tablice"/>
    <w:basedOn w:val="Sadrajitablice"/>
    <w:pPr>
      <w:jc w:val="center"/>
    </w:pPr>
    <w:rPr>
      <w:b/>
      <w:bCs/>
    </w:rPr>
  </w:style>
  <w:style w:customStyle="1" w:styleId="Bezproreda1" w:type="paragraph">
    <w:name w:val="Bez proreda1"/>
    <w:pPr>
      <w:suppressAutoHyphens/>
      <w:spacing w:after="80"/>
    </w:pPr>
    <w:rPr>
      <w:rFonts w:ascii="Calibri" w:hAnsi="Calibri"/>
      <w:color w:val="00000A"/>
      <w:sz w:val="22"/>
      <w:szCs w:val="22"/>
      <w:lang w:eastAsia="en-US"/>
    </w:rPr>
  </w:style>
  <w:style w:styleId="Odlomakpopisa" w:type="paragraph">
    <w:name w:val="List Paragraph"/>
    <w:basedOn w:val="Normal"/>
    <w:qFormat/>
    <w:pPr>
      <w:spacing w:after="0"/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A32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32C1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32C1"/>
    <w:rPr>
      <w:rFonts w:ascii="Times New Roman" w:hAnsi="Times New Roman"/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32C1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32C1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St-597/2016-31</izvorni_sadrzaj>
    <derivirana_varijabla naziv="DomainObject.Oznaka_1">St-597/2016-31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597</izvorni_sadrzaj>
    <derivirana_varijabla naziv="DomainObject.Predmet.Broj_1">597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2016.</izvorni_sadrzaj>
    <derivirana_varijabla naziv="DomainObject.Predmet.DatumOsnivanja_1">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St-597/2016</izvorni_sadrzaj>
    <derivirana_varijabla naziv="DomainObject.Predmet.OznakaBroj_1">St-597/2016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ART ing društvo s ograničenom odgovornošću za arhitekturu, dizajn i graditeljstvo zastupanog po punomoćniku Vesna Baranašić Horvat</izvorni_sadrzaj>
    <derivirana_varijabla naziv="DomainObject.Predmet.ProtustrankaFormated_1">  ART ing društvo s ograničenom odgovornošću za arhitekturu, dizajn i graditeljstvo zastupanog po punomoćniku Vesna Baranašić Horvat</derivirana_varijabla>
  </DomainObject.Predmet.ProtustrankaFormated>
  <DomainObject.Predmet.ProtustrankaFormatedOIB>
    <izvorni_sadrzaj>  ART ing društvo s ograničenom odgovornošću za arhitekturu, dizajn i graditeljstvo, OIB 64831303834 zastupanog po punomoćniku Vesna Baranašić Horvat</izvorni_sadrzaj>
    <derivirana_varijabla naziv="DomainObject.Predmet.ProtustrankaFormatedOIB_1">  ART ing društvo s ograničenom odgovornošću za arhitekturu, dizajn i graditeljstvo, OIB 64831303834 zastupanog po punomoćniku Vesna Baranašić Horvat</derivirana_varijabla>
  </DomainObject.Predmet.ProtustrankaFormatedOIB>
  <DomainObject.Predmet.ProtustrankaFormatedWithAdress>
    <izvorni_sadrzaj> ART ing društvo s ograničenom odgovornošću za arhitekturu, dizajn i graditeljstvo, Stjepana Radića 24, 40000 Čakovec zastupanog po punomoćniku Vesna Baranašić Horvat</izvorni_sadrzaj>
    <derivirana_varijabla naziv="DomainObject.Predmet.ProtustrankaFormatedWithAdress_1"> ART ing društvo s ograničenom odgovornošću za arhitekturu, dizajn i graditeljstvo, Stjepana Radića 24, 40000 Čakovec zastupanog po punomoćniku Vesna Baranašić Horvat</derivirana_varijabla>
  </DomainObject.Predmet.ProtustrankaFormatedWithAdress>
  <DomainObject.Predmet.ProtustrankaFormatedWithAdressOIB>
    <izvorni_sadrzaj> ART ing društvo s ograničenom odgovornošću za arhitekturu, dizajn i graditeljstvo, OIB 64831303834, Stjepana Radića 24, 40000 Čakovec zastupanog po punomoćniku Vesna Baranašić Horvat</izvorni_sadrzaj>
    <derivirana_varijabla naziv="DomainObject.Predmet.ProtustrankaFormatedWithAdressOIB_1"> ART ing društvo s ograničenom odgovornošću za arhitekturu, dizajn i graditeljstvo, OIB 64831303834, Stjepana Radića 24, 40000 Čakovec zastupanog po punomoćniku Vesna Baranašić Horvat</derivirana_varijabla>
  </DomainObject.Predmet.ProtustrankaFormatedWithAdressOIB>
  <DomainObject.Predmet.ProtustrankaWithAdress>
    <izvorni_sadrzaj>ART ing društvo s ograničenom odgovornošću za arhitekturu, dizajn i graditeljstvo Stjepana Radića 24, 40000 Čakovec</izvorni_sadrzaj>
    <derivirana_varijabla naziv="DomainObject.Predmet.ProtustrankaWithAdress_1">ART ing društvo s ograničenom odgovornošću za arhitekturu, dizajn i graditeljstvo Stjepana Radića 24, 40000 Čakovec</derivirana_varijabla>
  </DomainObject.Predmet.ProtustrankaWithAdress>
  <DomainObject.Predmet.ProtustrankaWithAdressOIB>
    <izvorni_sadrzaj>ART ing društvo s ograničenom odgovornošću za arhitekturu, dizajn i graditeljstvo, OIB 64831303834, Stjepana Radića 24, 40000 Čakovec</izvorni_sadrzaj>
    <derivirana_varijabla naziv="DomainObject.Predmet.ProtustrankaWithAdressOIB_1">ART ing društvo s ograničenom odgovornošću za arhitekturu, dizajn i graditeljstvo, OIB 64831303834, Stjepana Radića 24, 40000 Čakovec</derivirana_varijabla>
  </DomainObject.Predmet.ProtustrankaWithAdressOIB>
  <DomainObject.Predmet.ProtustrankaNazivFormated>
    <izvorni_sadrzaj>ART ing društvo s ograničenom odgovornošću za arhitekturu, dizajn i graditeljstvo</izvorni_sadrzaj>
    <derivirana_varijabla naziv="DomainObject.Predmet.ProtustrankaNazivFormated_1">ART ing društvo s ograničenom odgovornošću za arhitekturu, dizajn i graditeljstvo</derivirana_varijabla>
  </DomainObject.Predmet.ProtustrankaNazivFormated>
  <DomainObject.Predmet.ProtustrankaNazivFormatedOIB>
    <izvorni_sadrzaj>ART ing društvo s ograničenom odgovornošću za arhitekturu, dizajn i graditeljstvo, OIB 64831303834</izvorni_sadrzaj>
    <derivirana_varijabla naziv="DomainObject.Predmet.ProtustrankaNazivFormatedOIB_1">ART ing društvo s ograničenom odgovornošću za arhitekturu, dizajn i graditeljstvo, OIB 64831303834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122624.92</izvorni_sadrzaj>
    <derivirana_varijabla naziv="DomainObject.Predmet.TrenutnaVrijednost_1">122624.92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ART ing društvo s ograničenom odgovornošću za arhitekturu, dizajn i graditeljstvo zastupanog po punomoćniku Vesna Baranašić Horvat</item>
    </izvorni_sadrzaj>
    <derivirana_varijabla naziv="DomainObject.Predmet.ProtuStrankaListFormated_1">
      <item>ART ing društvo s ograničenom odgovornošću za arhitekturu, dizajn i graditeljstvo zastupanog po punomoćniku Vesna Baranašić Horvat</item>
    </derivirana_varijabla>
  </DomainObject.Predmet.ProtuStrankaListFormated>
  <DomainObject.Predmet.ProtuStrankaListFormatedOIB>
    <izvorni_sadrzaj>
      <item>ART ing društvo s ograničenom odgovornošću za arhitekturu, dizajn i graditeljstvo, OIB 64831303834 zastupanog po punomoćniku Vesna Baranašić Horvat</item>
    </izvorni_sadrzaj>
    <derivirana_varijabla naziv="DomainObject.Predmet.ProtuStrankaListFormatedOIB_1">
      <item>ART ing društvo s ograničenom odgovornošću za arhitekturu, dizajn i graditeljstvo, OIB 64831303834 zastupanog po punomoćniku Vesna Baranašić Horvat</item>
    </derivirana_varijabla>
  </DomainObject.Predmet.ProtuStrankaListFormatedOIB>
  <DomainObject.Predmet.ProtuStrankaListFormatedWithAdress>
    <izvorni_sadrzaj>
      <item>ART ing društvo s ograničenom odgovornošću za arhitekturu, dizajn i graditeljstvo, Stjepana Radića 24, 40000 Čakovec zastupanog po punomoćniku Vesna Baranašić Horvat</item>
    </izvorni_sadrzaj>
    <derivirana_varijabla naziv="DomainObject.Predmet.ProtuStrankaListFormatedWithAdress_1">
      <item>ART ing društvo s ograničenom odgovornošću za arhitekturu, dizajn i graditeljstvo, Stjepana Radića 24, 40000 Čakovec zastupanog po punomoćniku Vesna Baranašić Horvat</item>
    </derivirana_varijabla>
  </DomainObject.Predmet.ProtuStrankaListFormatedWithAdress>
  <DomainObject.Predmet.ProtuStrankaListFormatedWithAdressOIB>
    <izvorni_sadrzaj>
      <item>ART ing društvo s ograničenom odgovornošću za arhitekturu, dizajn i graditeljstvo, OIB 64831303834, Stjepana Radića 24, 40000 Čakovec zastupanog po punomoćniku Vesna Baranašić Horvat</item>
    </izvorni_sadrzaj>
    <derivirana_varijabla naziv="DomainObject.Predmet.ProtuStrankaListFormatedWithAdressOIB_1">
      <item>ART ing društvo s ograničenom odgovornošću za arhitekturu, dizajn i graditeljstvo, OIB 64831303834, Stjepana Radića 24, 40000 Čakovec zastupanog po punomoćniku Vesna Baranašić Horvat</item>
    </derivirana_varijabla>
  </DomainObject.Predmet.ProtuStrankaListFormatedWithAdressOIB>
  <DomainObject.Predmet.ProtuStrankaListNazivFormated>
    <izvorni_sadrzaj>
      <item>ART ing društvo s ograničenom odgovornošću za arhitekturu, dizajn i graditeljstvo</item>
    </izvorni_sadrzaj>
    <derivirana_varijabla naziv="DomainObject.Predmet.ProtuStrankaListNazivFormated_1">
      <item>ART ing društvo s ograničenom odgovornošću za arhitekturu, dizajn i graditeljstvo</item>
    </derivirana_varijabla>
  </DomainObject.Predmet.ProtuStrankaListNazivFormated>
  <DomainObject.Predmet.ProtuStrankaListNazivFormatedOIB>
    <izvorni_sadrzaj>
      <item>ART ing društvo s ograničenom odgovornošću za arhitekturu, dizajn i graditeljstvo, OIB 64831303834</item>
    </izvorni_sadrzaj>
    <derivirana_varijabla naziv="DomainObject.Predmet.ProtuStrankaListNazivFormatedOIB_1">
      <item>ART ing društvo s ograničenom odgovornošću za arhitekturu, dizajn i graditeljstvo, OIB 64831303834</item>
    </derivirana_varijabla>
  </DomainObject.Predmet.ProtuStrankaListNazivFormatedOIB>
  <DomainObject.Predmet.OstaliListFormated>
    <izvorni_sadrzaj>
      <item>Sudski registar</item>
      <item>Županijsko državno odvjetništvo u Varaždinu</item>
      <item>Sandro Krička</item>
      <item>Vesna Baranašić Horvat punomoćnik sudionika u postupku ART ing društvo s ograničenom odgovornošću za arhitekturu, dizajn i graditeljstvo</item>
    </izvorni_sadrzaj>
    <derivirana_varijabla naziv="DomainObject.Predmet.OstaliListFormated_1">
      <item>Sudski registar</item>
      <item>Županijsko državno odvjetništvo u Varaždinu</item>
      <item>Sandro Krička</item>
      <item>Vesna Baranašić Horvat punomoćnik sudionika u postupku ART ing društvo s ograničenom odgovornošću za arhitekturu, dizajn i graditeljstvo</item>
    </derivirana_varijabla>
  </DomainObject.Predmet.OstaliListFormated>
  <DomainObject.Predmet.OstaliListFormatedOIB>
    <izvorni_sadrzaj>
      <item>Sudski registar</item>
      <item>Županijsko državno odvjetništvo u Varaždinu</item>
      <item>Sandro Krička, OIB 44739115478</item>
      <item>Vesna Baranašić Horvat, OIB 65554389903 punomoćnik sudionika u postupku ART ing društvo s ograničenom odgovornošću za arhitekturu, dizajn i graditeljstvo</item>
    </izvorni_sadrzaj>
    <derivirana_varijabla naziv="DomainObject.Predmet.OstaliListFormatedOIB_1">
      <item>Sudski registar</item>
      <item>Županijsko državno odvjetništvo u Varaždinu</item>
      <item>Sandro Krička, OIB 44739115478</item>
      <item>Vesna Baranašić Horvat, OIB 65554389903 punomoćnik sudionika u postupku ART ing društvo s ograničenom odgovornošću za arhitekturu, dizajn i graditeljstvo</item>
    </derivirana_varijabla>
  </DomainObject.Predmet.OstaliListFormatedOIB>
  <DomainObject.Predmet.OstaliListFormatedWithAdress>
    <izvorni_sadrzaj>
      <item>Sudski registar</item>
      <item>Županijsko državno odvjetništvo u Varaždinu</item>
      <item>Sandro Krička, Stjepana Radića 24, 40000 Čakovec</item>
      <item>Vesna Baranašić Horvat, Augusta Šenoe 9b, 40000 Šenkovec punomoćnik sudionika u postupku ART ing društvo s ograničenom odgovornošću za arhitekturu, dizajn i graditeljstvo</item>
    </izvorni_sadrzaj>
    <derivirana_varijabla naziv="DomainObject.Predmet.OstaliListFormatedWithAdress_1">
      <item>Sudski registar</item>
      <item>Županijsko državno odvjetništvo u Varaždinu</item>
      <item>Sandro Krička, Stjepana Radića 24, 40000 Čakovec</item>
      <item>Vesna Baranašić Horvat, Augusta Šenoe 9b, 40000 Šenkovec punomoćnik sudionika u postupku ART ing društvo s ograničenom odgovornošću za arhitekturu, dizajn i graditeljstvo</item>
    </derivirana_varijabla>
  </DomainObject.Predmet.OstaliListFormatedWithAdress>
  <DomainObject.Predmet.OstaliListFormatedWithAdressOIB>
    <izvorni_sadrzaj>
      <item>Sudski registar</item>
      <item>Županijsko državno odvjetništvo u Varaždinu</item>
      <item>Sandro Krička, OIB 44739115478, Stjepana Radića 24, 40000 Čakovec</item>
      <item>Vesna Baranašić Horvat, OIB 65554389903, Augusta Šenoe 9b, 40000 Šenkovec punomoćnik sudionika u postupku ART ing društvo s ograničenom odgovornošću za arhitekturu, dizajn i graditeljstvo</item>
    </izvorni_sadrzaj>
    <derivirana_varijabla naziv="DomainObject.Predmet.OstaliListFormatedWithAdressOIB_1">
      <item>Sudski registar</item>
      <item>Županijsko državno odvjetništvo u Varaždinu</item>
      <item>Sandro Krička, OIB 44739115478, Stjepana Radića 24, 40000 Čakovec</item>
      <item>Vesna Baranašić Horvat, OIB 65554389903, Augusta Šenoe 9b, 40000 Šenkovec punomoćnik sudionika u postupku ART ing društvo s ograničenom odgovornošću za arhitekturu, dizajn i graditeljstvo</item>
    </derivirana_varijabla>
  </DomainObject.Predmet.OstaliListFormatedWithAdressOIB>
  <DomainObject.Predmet.OstaliListNazivFormated>
    <izvorni_sadrzaj>
      <item>Sudski registar</item>
      <item>Županijsko državno odvjetništvo u Varaždinu</item>
      <item>Sandro Krička</item>
      <item>Vesna Baranašić Horvat</item>
    </izvorni_sadrzaj>
    <derivirana_varijabla naziv="DomainObject.Predmet.OstaliListNazivFormated_1">
      <item>Sudski registar</item>
      <item>Županijsko državno odvjetništvo u Varaždinu</item>
      <item>Sandro Krička</item>
      <item>Vesna Baranašić Horvat</item>
    </derivirana_varijabla>
  </DomainObject.Predmet.OstaliListNazivFormated>
  <DomainObject.Predmet.OstaliListNazivFormatedOIB>
    <izvorni_sadrzaj>
      <item>Sudski registar</item>
      <item>Županijsko državno odvjetništvo u Varaždinu</item>
      <item>Sandro Krička, OIB 44739115478</item>
      <item>Vesna Baranašić Horvat, OIB 65554389903</item>
    </izvorni_sadrzaj>
    <derivirana_varijabla naziv="DomainObject.Predmet.OstaliListNazivFormatedOIB_1">
      <item>Sudski registar</item>
      <item>Županijsko državno odvjetništvo u Varaždinu</item>
      <item>Sandro Krička, OIB 44739115478</item>
      <item>Vesna Baranašić Horvat, OIB 65554389903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2017.</izvorni_sadrzaj>
    <derivirana_varijabla naziv="DomainObject.Datum_1">23.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ART ing društvo s ograničenom odgovornošću za arhitekturu, dizajn i graditeljstvo</izvorni_sadrzaj>
    <derivirana_varijabla naziv="DomainObject.Predmet.ProtustrankaIDrugi_1">ART ing društvo s ograničenom odgovornošću za arhitekturu, dizajn i graditeljstvo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ART ing društvo s ograničenom odgovornošću za arhitekturu, dizajn i graditeljstvo, OIB 64831303834, Stjepana Radića 24, 40000 Čakovec</izvorni_sadrzaj>
    <derivirana_varijabla naziv="DomainObject.Predmet.ProtustrankaIDrugiAdressOIB_1">ART ing društvo s ograničenom odgovornošću za arhitekturu, dizajn i graditeljstvo, OIB 64831303834, Stjepana Radića 24,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ART ing društvo s ograničenom odgovornošću za arhitekturu, dizajn i graditeljstvo</item>
      <item>Sudski registar</item>
      <item>Županijsko državno odvjetništvo u Varaždinu</item>
      <item>Sandro Krička</item>
      <item>Vesna Baranašić Horvat</item>
    </izvorni_sadrzaj>
    <derivirana_varijabla naziv="DomainObject.Predmet.SudioniciListNaziv_1">
      <item>Financijska agencija</item>
      <item>ART ing društvo s ograničenom odgovornošću za arhitekturu, dizajn i graditeljstvo</item>
      <item>Sudski registar</item>
      <item>Županijsko državno odvjetništvo u Varaždinu</item>
      <item>Sandro Krička</item>
      <item>Vesna Baranašić Horvat</item>
    </derivirana_varijabla>
  </DomainObject.Predmet.SudioniciListNaziv>
  <DomainObject.Predmet.SudioniciListAdressOIB>
    <izvorni_sadrzaj>
      <item>Financijska agencija, OIB 85821130368</item>
      <item>ART ing društvo s ograničenom odgovornošću za arhitekturu, dizajn i graditeljstvo, OIB 64831303834, Stjepana Radića 24,40000 Čakovec</item>
      <item>Sudski registar</item>
      <item>Županijsko državno odvjetništvo u Varaždinu</item>
      <item>Sandro Krička, OIB 44739115478, Stjepana Radića 24,40000 Čakovec</item>
      <item>Vesna Baranašić Horvat, OIB 65554389903, Augusta Šenoe 9b,40000 Šenkovec</item>
    </izvorni_sadrzaj>
    <derivirana_varijabla naziv="DomainObject.Predmet.SudioniciListAdressOIB_1">
      <item>Financijska agencija, OIB 85821130368</item>
      <item>ART ing društvo s ograničenom odgovornošću za arhitekturu, dizajn i graditeljstvo, OIB 64831303834, Stjepana Radića 24,40000 Čakovec</item>
      <item>Sudski registar</item>
      <item>Županijsko državno odvjetništvo u Varaždinu</item>
      <item>Sandro Krička, OIB 44739115478, Stjepana Radića 24,40000 Čakovec</item>
      <item>Vesna Baranašić Horvat, OIB 65554389903, Augusta Šenoe 9b,40000 Šenkovec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64831303834</item>
      <item>, OIB null</item>
      <item>, OIB null</item>
      <item>, OIB 44739115478</item>
      <item>, OIB 65554389903</item>
    </izvorni_sadrzaj>
    <derivirana_varijabla naziv="DomainObject.Predmet.SudioniciListNazivOIB_1">
      <item>, OIB 85821130368</item>
      <item>, OIB 64831303834</item>
      <item>, OIB null</item>
      <item>, OIB null</item>
      <item>, OIB 44739115478</item>
      <item>, OIB 65554389903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Vesna Baranašić Horvat, OIB 65554389903, Matice hrvatske 6, 40000 Čakovec</item>
    </izvorni_sadrzaj>
    <derivirana_varijabla naziv="DomainObject.Predmet.StecajniUpraviteljiListAddressOIB_1">
      <item>Vesna Baranašić Horvat, OIB 65554389903, Matice hrvatske 6, 40000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923</properties:Words>
  <properties:Characters>5616</properties:Characters>
  <properties:Lines>173</properties:Lines>
  <properties:Paragraphs>65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Nadležni trgovački sud:     TRGOVAČKI SUD U VARAŽDINU</vt:lpstr>
    </vt:vector>
  </properties:TitlesOfParts>
  <properties:LinksUpToDate>false</properties:LinksUpToDate>
  <properties:CharactersWithSpaces>6723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2017-02-23T12:44:00Z</dcterms:created>
  <dc:creator>Revisio</dc:creator>
  <cp:lastModifiedBy>Tihana Martinez</cp:lastModifiedBy>
  <cp:lastPrinted>1900-12-31T23:00:00Z</cp:lastPrinted>
  <dcterms:modified xmlns:xsi="http://www.w3.org/2001/XMLSchema-instance" xsi:type="dcterms:W3CDTF">2017-02-23T12:50:00Z</dcterms:modified>
  <cp:revision>3</cp:revision>
  <dc:title>Nadležni trgovački sud:     TRGOVAČKI SUD U VARAŽDINU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AppVersion" pid="2" fmtid="{D5CDD505-2E9C-101B-9397-08002B2CF9AE}">
    <vt:lpwstr>14.0000</vt:lpwstr>
  </prop:property>
  <prop:property name="Company" pid="3" fmtid="{D5CDD505-2E9C-101B-9397-08002B2CF9AE}">
    <vt:lpwstr>IBM Corporation</vt:lpwstr>
  </prop:property>
  <prop:property name="DocSecurity" pid="4" fmtid="{D5CDD505-2E9C-101B-9397-08002B2CF9AE}">
    <vt:i4>0</vt:i4>
  </prop:property>
  <prop:property name="HyperlinksChanged" pid="5" fmtid="{D5CDD505-2E9C-101B-9397-08002B2CF9AE}">
    <vt:bool>false</vt:bool>
  </prop:property>
  <prop:property name="LinksUpToDate" pid="6" fmtid="{D5CDD505-2E9C-101B-9397-08002B2CF9AE}">
    <vt:bool>false</vt:bool>
  </prop:property>
  <prop:property name="ScaleCrop" pid="7" fmtid="{D5CDD505-2E9C-101B-9397-08002B2CF9AE}">
    <vt:bool>false</vt:bool>
  </prop:property>
  <prop:property name="ShareDoc" pid="8" fmtid="{D5CDD505-2E9C-101B-9397-08002B2CF9AE}">
    <vt:bool>false</vt:bool>
  </prop:property>
  <prop:property name="Saved" pid="9" fmtid="{D5CDD505-2E9C-101B-9397-08002B2CF9AE}">
    <vt:bool>true</vt:bool>
  </prop:property>
  <prop:property name="Naslov" pid="10" fmtid="{D5CDD505-2E9C-101B-9397-08002B2CF9AE}">
    <vt:lpwstr>St-597/2016-31 / Podnesak - Izvješće stečajnog upravitelja</vt:lpwstr>
  </prop:property>
  <prop:property name="CC_coloring" pid="11" fmtid="{D5CDD505-2E9C-101B-9397-08002B2CF9AE}">
    <vt:bool>false</vt:bool>
  </prop:property>
  <prop:property name="BrojStranica" pid="12" fmtid="{D5CDD505-2E9C-101B-9397-08002B2CF9AE}">
    <vt:i4>3</vt:i4>
  </prop:property>
</prop:Properties>
</file>