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0eb" w14:paraId="bb100eb" w:rsidRDefault="00AB62C2" w:rsidP="00793077" w:rsidR="00AB62C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B62C2" w:rsidP="00793077" w:rsidR="00AB62C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D077D5" w:rsidRPr="00D077D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AB62C2">
        <w:rPr>
          <w:rFonts w:cs="Times New Roman" w:hAnsi="Times New Roman" w:ascii="Times New Roman"/>
          <w:sz w:val="24"/>
          <w:szCs w:val="24"/>
        </w:rPr>
        <w:t>Posl</w:t>
      </w:r>
      <w:r w:rsidR="000F471C">
        <w:rPr>
          <w:rFonts w:cs="Times New Roman" w:hAnsi="Times New Roman" w:ascii="Times New Roman"/>
          <w:sz w:val="24"/>
          <w:szCs w:val="24"/>
        </w:rPr>
        <w:t>.</w:t>
      </w:r>
      <w:r w:rsidR="00AB62C2">
        <w:rPr>
          <w:rFonts w:cs="Times New Roman" w:hAnsi="Times New Roman" w:ascii="Times New Roman"/>
          <w:sz w:val="24"/>
          <w:szCs w:val="24"/>
        </w:rPr>
        <w:t>br</w:t>
      </w:r>
      <w:r w:rsidR="000F471C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0F471C">
        <w:rPr>
          <w:rFonts w:cs="Times New Roman" w:hAnsi="Times New Roman" w:ascii="Times New Roman"/>
          <w:sz w:val="24"/>
          <w:szCs w:val="24"/>
        </w:rPr>
        <w:t>594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Pr="00D077D5">
        <w:rPr>
          <w:rFonts w:cs="Times New Roman" w:hAnsi="Times New Roman" w:ascii="Times New Roman"/>
          <w:sz w:val="24"/>
          <w:szCs w:val="24"/>
        </w:rPr>
        <w:t>1</w:t>
      </w:r>
      <w:r w:rsidR="000F471C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0F471C">
        <w:rPr>
          <w:rFonts w:cs="Times New Roman" w:hAnsi="Times New Roman" w:ascii="Times New Roman"/>
          <w:sz w:val="24"/>
          <w:szCs w:val="24"/>
        </w:rPr>
        <w:t>84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71C" w:rsidP="000F471C" w:rsidR="000F471C" w:rsidRPr="000F47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471C">
        <w:rPr>
          <w:rFonts w:cs="Times New Roman" w:hAnsi="Times New Roman" w:ascii="Times New Roman"/>
          <w:sz w:val="24"/>
          <w:szCs w:val="24"/>
        </w:rPr>
        <w:t xml:space="preserve">           Trgovački sud u Rijeci po sutkinji Emi Brdovčak, u stečajnom postupku nad dužnikom RIJEČKA PRELUKA d.o.o. Opatija u stečaju, Stubište Marušinac 7, OIB: 64066711799, MBS: 040236148, kojeg zastupa stečajna upraviteljica Antonela Jolić Zubčić iz Rijeke, Ante Starčevića 5,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0F471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svibnja </w:t>
      </w:r>
      <w:r w:rsidRPr="000F471C">
        <w:rPr>
          <w:rFonts w:cs="Times New Roman" w:hAnsi="Times New Roman" w:ascii="Times New Roman"/>
          <w:sz w:val="24"/>
          <w:szCs w:val="24"/>
        </w:rPr>
        <w:t>2018.,</w:t>
      </w:r>
    </w:p>
    <w:p w:rsidRDefault="000F471C" w:rsidP="008562EB" w:rsidR="000F47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44C" w:rsidP="000F471C" w:rsidR="000F471C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  <w:t xml:space="preserve">Pozivaju se stranke i osobe koje prema stanju spisa i prema podacima iz zemljišne knjige polažu pravo da se namire iz iznosa kupovnine postignute za </w:t>
      </w:r>
      <w:r w:rsidRPr="00E71EBC">
        <w:rPr>
          <w:rFonts w:cs="Times New Roman" w:hAnsi="Times New Roman" w:ascii="Times New Roman"/>
          <w:sz w:val="24"/>
          <w:szCs w:val="24"/>
        </w:rPr>
        <w:t>nekretnine upisane u zemljišnim knjigama Općinskog suda u</w:t>
      </w:r>
      <w:r w:rsidR="000F471C">
        <w:rPr>
          <w:rFonts w:cs="Times New Roman" w:hAnsi="Times New Roman" w:ascii="Times New Roman"/>
          <w:sz w:val="24"/>
          <w:szCs w:val="24"/>
        </w:rPr>
        <w:t xml:space="preserve"> Puli, Stalna služba u Bujama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471C">
        <w:rPr>
          <w:rFonts w:cs="Times New Roman" w:hAnsi="Times New Roman" w:ascii="Times New Roman"/>
          <w:sz w:val="24"/>
          <w:szCs w:val="24"/>
        </w:rPr>
        <w:t xml:space="preserve">na </w:t>
      </w:r>
      <w:r w:rsidR="000F471C" w:rsidRPr="000F471C">
        <w:rPr>
          <w:rFonts w:cs="Times New Roman" w:hAnsi="Times New Roman" w:ascii="Times New Roman"/>
          <w:bCs/>
          <w:sz w:val="24"/>
          <w:szCs w:val="24"/>
        </w:rPr>
        <w:t>kč.br. 2480, upisane u zk.ul. br. 1505, k.o. Umag</w:t>
      </w:r>
      <w:r w:rsidR="000F471C">
        <w:rPr>
          <w:rFonts w:cs="Times New Roman" w:hAnsi="Times New Roman" w:ascii="Times New Roman"/>
          <w:bCs/>
          <w:sz w:val="24"/>
          <w:szCs w:val="24"/>
        </w:rPr>
        <w:t xml:space="preserve"> i to:</w:t>
      </w:r>
      <w:r w:rsidR="000F471C" w:rsidRPr="000F471C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0F471C" w:rsidP="000F471C" w:rsidR="000F471C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F471C" w:rsidP="000F471C" w:rsidR="000F471C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- 51. suvlasnički dio s neodređenim omjerom etažno vlasništvo (E-51), s kojim je povezano pravo vlasništva u suvlasništvu cijele nekretnine posebnog dijela zgrade A a) dio grade označen u planu poseb</w:t>
      </w:r>
      <w:r w:rsidR="00B64539">
        <w:rPr>
          <w:rFonts w:cs="Times New Roman" w:hAnsi="Times New Roman" w:ascii="Times New Roman"/>
          <w:bCs/>
          <w:sz w:val="24"/>
          <w:szCs w:val="24"/>
        </w:rPr>
        <w:t>n</w:t>
      </w:r>
      <w:r>
        <w:rPr>
          <w:rFonts w:cs="Times New Roman" w:hAnsi="Times New Roman" w:ascii="Times New Roman"/>
          <w:bCs/>
          <w:sz w:val="24"/>
          <w:szCs w:val="24"/>
        </w:rPr>
        <w:t xml:space="preserve">ih dijelova zgrade narančastom bojom koji se sastoji od </w:t>
      </w:r>
      <w:r w:rsidR="001428D8">
        <w:rPr>
          <w:rFonts w:cs="Times New Roman" w:hAnsi="Times New Roman" w:ascii="Times New Roman"/>
          <w:bCs/>
          <w:sz w:val="24"/>
          <w:szCs w:val="24"/>
        </w:rPr>
        <w:t xml:space="preserve">a5) </w:t>
      </w:r>
      <w:r>
        <w:rPr>
          <w:rFonts w:cs="Times New Roman" w:hAnsi="Times New Roman" w:ascii="Times New Roman"/>
          <w:bCs/>
          <w:sz w:val="24"/>
          <w:szCs w:val="24"/>
        </w:rPr>
        <w:t>na III katu, priručno skladište označeno br. 94, površine 82,40 m2;</w:t>
      </w:r>
    </w:p>
    <w:p w:rsidRDefault="00B64539" w:rsidP="000F471C" w:rsidR="00B6453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B64539" w:rsidP="000F471C" w:rsidR="00B6453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- 52. suvlasnički dio s neodređenim omjerom etažno vlasništvo (E-52), s kojim je povezano pravo vlasništva u suvlasništvu cijele nekretnine posebnog dijela zgrade A a) dio grade označen u planu posebnih dijelova zgrade narančastom bojom koji se sastoji od</w:t>
      </w:r>
      <w:r w:rsidR="001428D8">
        <w:rPr>
          <w:rFonts w:cs="Times New Roman" w:hAnsi="Times New Roman" w:ascii="Times New Roman"/>
          <w:bCs/>
          <w:sz w:val="24"/>
          <w:szCs w:val="24"/>
        </w:rPr>
        <w:t xml:space="preserve"> a5)</w:t>
      </w:r>
      <w:r>
        <w:rPr>
          <w:rFonts w:cs="Times New Roman" w:hAnsi="Times New Roman" w:ascii="Times New Roman"/>
          <w:bCs/>
          <w:sz w:val="24"/>
          <w:szCs w:val="24"/>
        </w:rPr>
        <w:t xml:space="preserve"> na III katu strojarnica označena br. 95, površine 55,75 m2;</w:t>
      </w:r>
    </w:p>
    <w:p w:rsidRDefault="00B64539" w:rsidP="000F471C" w:rsidR="00B6453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B64539" w:rsidP="000F471C" w:rsidR="00B6453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- 53. suvlasnički dio s neodređenim omjerom etažno vlasništvo (E-53), s kojim je povezano pravo vlasništva u suvlasništvu cijele nekretnine posebnog dijela zgrade A a) dio zgrade označen u planu posebnih dijelova zgrade narančastom bojom koji se sastoji od </w:t>
      </w:r>
      <w:r w:rsidR="001428D8">
        <w:rPr>
          <w:rFonts w:cs="Times New Roman" w:hAnsi="Times New Roman" w:ascii="Times New Roman"/>
          <w:bCs/>
          <w:sz w:val="24"/>
          <w:szCs w:val="24"/>
        </w:rPr>
        <w:t xml:space="preserve">a5) </w:t>
      </w:r>
      <w:r>
        <w:rPr>
          <w:rFonts w:cs="Times New Roman" w:hAnsi="Times New Roman" w:ascii="Times New Roman"/>
          <w:bCs/>
          <w:sz w:val="24"/>
          <w:szCs w:val="24"/>
        </w:rPr>
        <w:t>na III katu hodnik s pokretnim stepenicama označeno br. 100, površine 93,30 m2;</w:t>
      </w:r>
    </w:p>
    <w:p w:rsidRDefault="00B64539" w:rsidP="000F471C" w:rsidR="00B64539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428D8" w:rsidP="001428D8" w:rsidR="00B64539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="00B64539">
        <w:rPr>
          <w:bCs/>
        </w:rPr>
        <w:t xml:space="preserve">54. suvlasnički dio s neodređenim omjerom etažno vlasništvo (E-54), s kojim je povezano pravo vlasništva u suvlasništvu cijele nekretnine posebnog dijela zgrade A a) dio zgrade označen u planu posebnih dijelova zgrade narančastom bojom koji se sastoji od </w:t>
      </w:r>
      <w:r>
        <w:rPr>
          <w:bCs/>
        </w:rPr>
        <w:t xml:space="preserve">a5) </w:t>
      </w:r>
      <w:r w:rsidR="00B64539">
        <w:rPr>
          <w:bCs/>
        </w:rPr>
        <w:t>na III katu prodajni prostor označen br. 100A, površine 264,85 m2;</w:t>
      </w:r>
    </w:p>
    <w:p w:rsidRDefault="00B64539" w:rsidP="00B64539" w:rsidR="00B64539">
      <w:pPr>
        <w:pStyle w:val="Odlomakpopisa"/>
        <w:ind w:left="0"/>
        <w:jc w:val="both"/>
        <w:rPr>
          <w:bCs/>
        </w:rPr>
      </w:pPr>
    </w:p>
    <w:p w:rsidRDefault="001428D8" w:rsidP="001428D8" w:rsidR="00B64539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</w:r>
      <w:r w:rsidR="00B64539">
        <w:rPr>
          <w:bCs/>
        </w:rPr>
        <w:t xml:space="preserve">55. suvlasnički dio s neodređenim omjerom etažno vlasništvo (E-55), s kojim je povezano pravo vlasništva u suvlasništvu cijele nekretnine posebnog dijela zgrade A a) dio zgrade označen u planu posebnih dijelova zgrade narančastom bojom koji se sastoji od </w:t>
      </w:r>
      <w:r>
        <w:rPr>
          <w:bCs/>
        </w:rPr>
        <w:t xml:space="preserve">a5) </w:t>
      </w:r>
      <w:r w:rsidR="00B64539">
        <w:rPr>
          <w:bCs/>
        </w:rPr>
        <w:t xml:space="preserve">na III katu prodajni prostor označen br. 100B, površine 108,25 m2;  </w:t>
      </w:r>
    </w:p>
    <w:p w:rsidRDefault="001428D8" w:rsidP="001428D8" w:rsidR="001428D8" w:rsidRPr="001428D8">
      <w:pPr>
        <w:pStyle w:val="Odlomakpopisa"/>
        <w:ind w:left="0"/>
        <w:jc w:val="both"/>
        <w:rPr>
          <w:bCs/>
        </w:rPr>
      </w:pPr>
    </w:p>
    <w:p w:rsidRDefault="001428D8" w:rsidP="001428D8" w:rsidR="001428D8" w:rsidRPr="001428D8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428D8"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Pr="001428D8">
        <w:rPr>
          <w:rFonts w:cs="Times New Roman" w:hAnsi="Times New Roman" w:ascii="Times New Roman"/>
          <w:bCs/>
          <w:sz w:val="24"/>
          <w:szCs w:val="24"/>
        </w:rPr>
        <w:tab/>
        <w:t xml:space="preserve">64. suvlasnički dio s neodređenim omjerom etažno vlasništvo (E-64), s kojim je povezano pravo vlasništva u suvlasništvu cijele nekretnine posebnog dijela zgrade A a) dio </w:t>
      </w:r>
      <w:r w:rsidRPr="001428D8">
        <w:rPr>
          <w:rFonts w:cs="Times New Roman" w:hAnsi="Times New Roman" w:ascii="Times New Roman"/>
          <w:bCs/>
          <w:sz w:val="24"/>
          <w:szCs w:val="24"/>
        </w:rPr>
        <w:lastRenderedPageBreak/>
        <w:t>grade označen u poseb</w:t>
      </w:r>
      <w:r>
        <w:rPr>
          <w:rFonts w:cs="Times New Roman" w:hAnsi="Times New Roman" w:ascii="Times New Roman"/>
          <w:bCs/>
          <w:sz w:val="24"/>
          <w:szCs w:val="24"/>
        </w:rPr>
        <w:t>n</w:t>
      </w:r>
      <w:r w:rsidRPr="001428D8">
        <w:rPr>
          <w:rFonts w:cs="Times New Roman" w:hAnsi="Times New Roman" w:ascii="Times New Roman"/>
          <w:bCs/>
          <w:sz w:val="24"/>
          <w:szCs w:val="24"/>
        </w:rPr>
        <w:t>ih dijelova zgrade zelenom bojom k</w:t>
      </w:r>
      <w:r>
        <w:rPr>
          <w:rFonts w:cs="Times New Roman" w:hAnsi="Times New Roman" w:ascii="Times New Roman"/>
          <w:bCs/>
          <w:sz w:val="24"/>
          <w:szCs w:val="24"/>
        </w:rPr>
        <w:t>o</w:t>
      </w:r>
      <w:r w:rsidRPr="001428D8">
        <w:rPr>
          <w:rFonts w:cs="Times New Roman" w:hAnsi="Times New Roman" w:ascii="Times New Roman"/>
          <w:bCs/>
          <w:sz w:val="24"/>
          <w:szCs w:val="24"/>
        </w:rPr>
        <w:t xml:space="preserve">ji se sastoji od </w:t>
      </w:r>
      <w:r>
        <w:rPr>
          <w:rFonts w:cs="Times New Roman" w:hAnsi="Times New Roman" w:ascii="Times New Roman"/>
          <w:bCs/>
          <w:sz w:val="24"/>
          <w:szCs w:val="24"/>
        </w:rPr>
        <w:t xml:space="preserve">a1) </w:t>
      </w:r>
      <w:r w:rsidRPr="001428D8">
        <w:rPr>
          <w:rFonts w:cs="Times New Roman" w:hAnsi="Times New Roman" w:ascii="Times New Roman"/>
          <w:bCs/>
          <w:sz w:val="24"/>
          <w:szCs w:val="24"/>
        </w:rPr>
        <w:t>na III katu sklad</w:t>
      </w:r>
      <w:r>
        <w:rPr>
          <w:rFonts w:cs="Times New Roman" w:hAnsi="Times New Roman" w:ascii="Times New Roman"/>
          <w:bCs/>
          <w:sz w:val="24"/>
          <w:szCs w:val="24"/>
        </w:rPr>
        <w:t>i</w:t>
      </w:r>
      <w:r w:rsidRPr="001428D8">
        <w:rPr>
          <w:rFonts w:cs="Times New Roman" w:hAnsi="Times New Roman" w:ascii="Times New Roman"/>
          <w:bCs/>
          <w:sz w:val="24"/>
          <w:szCs w:val="24"/>
        </w:rPr>
        <w:t xml:space="preserve">šte buffeta označeno br. 48, površine 59,30 m2 </w:t>
      </w: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344C" w:rsidP="000B344C" w:rsidR="000B344C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1428D8" w:rsidP="000B344C" w:rsidR="000B344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DF7EB6">
        <w:rPr>
          <w:rFonts w:cs="Times New Roman" w:hAnsi="Times New Roman" w:ascii="Times New Roman"/>
          <w:b/>
          <w:sz w:val="24"/>
          <w:szCs w:val="24"/>
        </w:rPr>
        <w:t xml:space="preserve">4. </w:t>
      </w:r>
      <w:r>
        <w:rPr>
          <w:rFonts w:cs="Times New Roman" w:hAnsi="Times New Roman" w:ascii="Times New Roman"/>
          <w:b/>
          <w:sz w:val="24"/>
          <w:szCs w:val="24"/>
        </w:rPr>
        <w:t xml:space="preserve">lipnja 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>201</w:t>
      </w:r>
      <w:r w:rsidR="000B344C">
        <w:rPr>
          <w:rFonts w:cs="Times New Roman" w:hAnsi="Times New Roman" w:ascii="Times New Roman"/>
          <w:b/>
          <w:sz w:val="24"/>
          <w:szCs w:val="24"/>
        </w:rPr>
        <w:t>8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DF7EB6"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0B344C">
        <w:rPr>
          <w:rFonts w:cs="Times New Roman" w:hAnsi="Times New Roman" w:ascii="Times New Roman"/>
          <w:b/>
          <w:sz w:val="24"/>
          <w:szCs w:val="24"/>
        </w:rPr>
        <w:t>,30</w:t>
      </w:r>
      <w:r w:rsidR="000B344C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0B344C" w:rsidP="000B344C" w:rsidR="000B344C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B344C" w:rsidP="000B344C" w:rsidR="000B34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1428D8">
        <w:rPr>
          <w:rFonts w:cs="Times New Roman" w:hAnsi="Times New Roman" w:ascii="Times New Roman"/>
          <w:sz w:val="24"/>
          <w:szCs w:val="24"/>
        </w:rPr>
        <w:t>3</w:t>
      </w:r>
      <w:r w:rsidR="00DF7EB6">
        <w:rPr>
          <w:rFonts w:cs="Times New Roman" w:hAnsi="Times New Roman" w:ascii="Times New Roman"/>
          <w:sz w:val="24"/>
          <w:szCs w:val="24"/>
        </w:rPr>
        <w:t>. svibnja</w:t>
      </w:r>
      <w:r w:rsidR="000B344C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0B344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9350975"/>
      <w:docPartObj>
        <w:docPartGallery w:val="Page Numbers (Bottom of Page)"/>
        <w:docPartUnique/>
      </w:docPartObj>
    </w:sdtPr>
    <w:sdtEndPr/>
    <w:sdtContent>
      <w:p w:rsidRDefault="001428D8" w:rsidR="001428D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955">
          <w:rPr>
            <w:noProof/>
          </w:rPr>
          <w:t>2</w:t>
        </w:r>
        <w:r>
          <w:fldChar w:fldCharType="end"/>
        </w:r>
      </w:p>
    </w:sdtContent>
  </w:sdt>
  <w:p w:rsidRDefault="001428D8" w:rsidR="001428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D5B" w:rsidP="00260D5B" w:rsidR="00260D5B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Posl.br.</w:t>
    </w:r>
    <w:r w:rsidRPr="00D077D5"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594/</w:t>
    </w:r>
    <w:r w:rsidRPr="00D077D5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3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84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D5B" w:rsidP="00260D5B" w:rsidR="00260D5B" w:rsidRPr="00260D5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60D5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60D5B" w:rsidP="00260D5B" w:rsidR="00260D5B" w:rsidRPr="00260D5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60D5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60D5B" w:rsidP="00260D5B" w:rsidR="00260D5B" w:rsidRPr="00260D5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60D5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60D5B" w:rsidP="00260D5B" w:rsidR="00260D5B" w:rsidRPr="00260D5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60D5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354C1"/>
    <w:multiLevelType w:val="hybridMultilevel"/>
    <w:tmpl w:val="A2B0E4B0"/>
    <w:lvl w:tplc="0106C47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F81752A"/>
    <w:multiLevelType w:val="hybridMultilevel"/>
    <w:tmpl w:val="7A4C13D6"/>
    <w:lvl w:tplc="5A26DEC2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0B344C"/>
    <w:rsid w:val="000F471C"/>
    <w:rsid w:val="00116A68"/>
    <w:rsid w:val="001428D8"/>
    <w:rsid w:val="00145955"/>
    <w:rsid w:val="00173E28"/>
    <w:rsid w:val="001B6D03"/>
    <w:rsid w:val="002121DB"/>
    <w:rsid w:val="00260D5B"/>
    <w:rsid w:val="002B4B9D"/>
    <w:rsid w:val="002D16FA"/>
    <w:rsid w:val="003636A7"/>
    <w:rsid w:val="003B775A"/>
    <w:rsid w:val="003D1073"/>
    <w:rsid w:val="004E6D36"/>
    <w:rsid w:val="00582E32"/>
    <w:rsid w:val="006D6251"/>
    <w:rsid w:val="00771265"/>
    <w:rsid w:val="00793077"/>
    <w:rsid w:val="007D7307"/>
    <w:rsid w:val="008562EB"/>
    <w:rsid w:val="00864BB7"/>
    <w:rsid w:val="0089290A"/>
    <w:rsid w:val="00894101"/>
    <w:rsid w:val="008B05EC"/>
    <w:rsid w:val="008D31C1"/>
    <w:rsid w:val="00996DB5"/>
    <w:rsid w:val="009C6088"/>
    <w:rsid w:val="00A90C37"/>
    <w:rsid w:val="00AB62C2"/>
    <w:rsid w:val="00B21316"/>
    <w:rsid w:val="00B467B2"/>
    <w:rsid w:val="00B64539"/>
    <w:rsid w:val="00C44CB4"/>
    <w:rsid w:val="00CF1A19"/>
    <w:rsid w:val="00D077D5"/>
    <w:rsid w:val="00D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29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0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Formated_1">
      <item>Vlado Gamboc</item>
      <item>OD VUKIĆ i dr.</item>
      <item>Nadija Benolić</item>
      <item>VENETO BANKA d.d.</item>
      <item>Mirjana Lovaković</item>
    </derivirana_varijabla>
  </DomainObject.Predmet.OstaliListFormated>
  <DomainObject.Predmet.OstaliList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FormatedOIB>
  <DomainObject.Predmet.OstaliListFormatedWithAdress>
    <izvorni_sadrzaj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izvorni_sadrzaj>
    <derivirana_varijabla naziv="DomainObject.Predmet.OstaliListFormatedWithAdress_1"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derivirana_varijabla>
  </DomainObject.Predmet.OstaliListFormatedWithAdress>
  <DomainObject.Predmet.OstaliListFormatedWithAdressOIB>
    <izvorni_sadrzaj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izvorni_sadrzaj>
    <derivirana_varijabla naziv="DomainObject.Predmet.OstaliListFormatedWithAdressOIB_1"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derivirana_varijabla>
  </DomainObject.Predmet.OstaliListFormatedWithAdressOIB>
  <DomainObject.Predmet.OstaliListNaziv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NazivFormated_1">
      <item>Vlado Gamboc</item>
      <item>OD VUKIĆ i dr.</item>
      <item>Nadija Benolić</item>
      <item>VENETO BANKA d.d.</item>
      <item>Mirjana Lovaković</item>
    </derivirana_varijabla>
  </DomainObject.Predmet.OstaliListNazivFormated>
  <DomainObject.Predmet.OstaliListNaziv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Naziv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OD VUKIĆ i dr.</item>
      <item>Nadija Benolić</item>
      <item>VENETO BANKA d.d.</item>
      <item>Mirjana Lovaković</item>
    </izvorni_sadrzaj>
    <derivirana_varijabla naziv="DomainObject.Predmet.SudioniciListNaziv_1">
      <item>FINA  Zagreb</item>
      <item>RIJEČKA PRELUKA d.o.o.  Opatija</item>
      <item>Vlado Gamboc</item>
      <item>OD VUKIĆ i dr.</item>
      <item>Nadija Benolić</item>
      <item>VENETO BANKA d.d.</item>
      <item>Mirjana Lovaković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null</item>
      <item>, OIB null</item>
      <item>, OIB 81712716992</item>
      <item>, OIB null</item>
    </izvorni_sadrzaj>
    <derivirana_varijabla naziv="DomainObject.Predmet.SudioniciListNazivOIB_1">
      <item>, OIB 85821130368</item>
      <item>, OIB 64066711799</item>
      <item>, OIB 66842527422</item>
      <item>, OIB null</item>
      <item>, OIB null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01ED7-A2FC-4BF6-B334-5BA2DA07B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2614</properties:Characters>
  <properties:Lines>66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2018-05-03T12:08:00Z</dcterms:created>
  <dc:creator>Krunoslava Mikulić</dc:creator>
  <cp:lastModifiedBy>Renata Valić</cp:lastModifiedBy>
  <cp:lastPrinted>2018-05-03T12:40:00Z</cp:lastPrinted>
  <dcterms:modified xmlns:xsi="http://www.w3.org/2001/XMLSchema-instance" xsi:type="dcterms:W3CDTF">2018-05-03T12:44:00Z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(594-13 zaključak poziv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