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402B40" w:rsidR="00E34FC7" w:rsidRPr="00E34FC7">
        <w:trPr>
          <w:trHeight w:val="2231"/>
        </w:trPr>
        <w:tc>
          <w:tcPr>
            <w:tcW w:type="dxa" w:w="3369"/>
            <w:vAlign w:val="center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jc w:val="center"/>
              <w:textAlignment w:val="auto"/>
              <w:rPr>
                <w:rFonts w:hAnsi="Times New Roman" w:ascii="Times New Roman"/>
                <w:sz w:val="20"/>
              </w:rPr>
            </w:pPr>
            <w:bookmarkStart w:name="_GoBack" w:id="0"/>
            <w:bookmarkEnd w:id="0"/>
            <w:r w:rsidRPr="00E34FC7">
              <w:rPr>
                <w:rFonts w:hAnsi="Times New Roman" w:ascii="Times New Roman"/>
                <w:noProof/>
                <w:sz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REPUBLIKA HRVATSKA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TRGOVAČKI SUD U SPLITU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0"/>
              </w:rPr>
            </w:pPr>
            <w:r w:rsidRPr="00E34FC7">
              <w:rPr>
                <w:rFonts w:hAnsi="Times New Roman" w:ascii="Times New Roman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</w:rPr>
            </w:pPr>
          </w:p>
          <w:p w:rsidRDefault="00E34FC7" w:rsidP="00D01505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Cs w:val="24"/>
              </w:rPr>
            </w:pPr>
            <w:r w:rsidRPr="00E34FC7">
              <w:rPr>
                <w:rFonts w:hAnsi="Times New Roman" w:ascii="Times New Roman"/>
                <w:noProof/>
                <w:szCs w:val="24"/>
              </w:rPr>
              <w:t>Poslovni broj: 11.St-</w:t>
            </w:r>
            <w:r w:rsidR="00D01505">
              <w:rPr>
                <w:rFonts w:hAnsi="Times New Roman" w:ascii="Times New Roman"/>
                <w:noProof/>
                <w:szCs w:val="24"/>
              </w:rPr>
              <w:t>867/2018-7</w:t>
            </w:r>
          </w:p>
        </w:tc>
      </w:tr>
    </w:tbl>
    <w:p w14:textId="f19d1f2" w14:paraId="f19d1f2" w:rsidRDefault="00E34FC7" w:rsidP="00E34FC7" w:rsidR="00E34FC7" w:rsidRPr="00E34FC7">
      <w:pPr>
        <w:overflowPunct/>
        <w:autoSpaceDE/>
        <w:autoSpaceDN/>
        <w:adjustRightInd/>
        <w:textAlignment w:val="auto"/>
        <w15:collapsed w:val="false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0"/>
        <w:rPr>
          <w:rFonts w:eastAsia="Arial Unicode MS" w:hAnsi="Times New Roman" w:ascii="Times New Roman"/>
          <w:bCs/>
          <w:szCs w:val="24"/>
        </w:rPr>
      </w:pPr>
      <w:r w:rsidRPr="00E34FC7">
        <w:rPr>
          <w:rFonts w:eastAsia="Arial Unicode MS" w:hAnsi="Times New Roman" w:ascii="Times New Roman"/>
          <w:bCs/>
          <w:szCs w:val="24"/>
        </w:rPr>
        <w:t>R E P U B L I K A   H R V A T S K A</w:t>
      </w:r>
    </w:p>
    <w:p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1"/>
        <w:rPr>
          <w:rFonts w:eastAsia="Arial Unicode MS" w:hAnsi="Times New Roman" w:ascii="Times New Roman"/>
          <w:bCs/>
          <w:szCs w:val="24"/>
          <w:lang w:eastAsia="en-US"/>
        </w:rPr>
      </w:pPr>
      <w:r w:rsidRPr="00E34FC7">
        <w:rPr>
          <w:rFonts w:eastAsia="Arial Unicode MS" w:hAnsi="Times New Roman" w:ascii="Times New Roman"/>
          <w:bCs/>
          <w:szCs w:val="24"/>
          <w:lang w:eastAsia="en-US"/>
        </w:rPr>
        <w:t>Z A K L J U Č A K</w:t>
      </w:r>
    </w:p>
    <w:p w:rsidRDefault="00E34FC7" w:rsidP="00E34FC7" w:rsidR="00E34FC7" w:rsidRPr="00E34FC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E34FC7">
        <w:rPr>
          <w:rFonts w:hAnsi="Times New Roman" w:ascii="Times New Roman"/>
        </w:rPr>
        <w:tab/>
        <w:t xml:space="preserve">Trgovački sud u Splitu, po sutkinji Ani Golub Gruić, </w:t>
      </w:r>
      <w:r w:rsidR="00DE415C">
        <w:rPr>
          <w:rFonts w:hAnsi="Times New Roman" w:ascii="Times New Roman"/>
        </w:rPr>
        <w:t xml:space="preserve">u </w:t>
      </w:r>
      <w:r w:rsidR="00D01505" w:rsidRPr="00D01505">
        <w:rPr>
          <w:rFonts w:hAnsi="Times New Roman" w:ascii="Times New Roman"/>
        </w:rPr>
        <w:t>predstečajnom postupku nad dužnikom RADNIČKI NOGOMETNI KLUB SPLIT s.d.d., OIB: 19808345315, Split, Hrvatske mornarice 10 (dalje: dužnik)</w:t>
      </w:r>
      <w:r w:rsidRPr="00E34FC7">
        <w:rPr>
          <w:rFonts w:hAnsi="Times New Roman" w:ascii="Times New Roman"/>
        </w:rPr>
        <w:t xml:space="preserve">, </w:t>
      </w:r>
      <w:r w:rsidR="00D01505">
        <w:rPr>
          <w:rFonts w:hAnsi="Times New Roman" w:ascii="Times New Roman"/>
        </w:rPr>
        <w:t>11</w:t>
      </w:r>
      <w:r w:rsidR="00A47609">
        <w:rPr>
          <w:rFonts w:hAnsi="Times New Roman" w:ascii="Times New Roman"/>
        </w:rPr>
        <w:t xml:space="preserve">. prosinca </w:t>
      </w:r>
      <w:r w:rsidRPr="00E34FC7">
        <w:rPr>
          <w:rFonts w:hAnsi="Times New Roman" w:ascii="Times New Roman"/>
          <w:szCs w:val="24"/>
        </w:rPr>
        <w:t xml:space="preserve">2018. </w:t>
      </w:r>
    </w:p>
    <w:p w:rsidRDefault="00DE415C" w:rsidP="00DE415C" w:rsidR="00E34FC7">
      <w:pPr>
        <w:tabs>
          <w:tab w:pos="530" w:val="left"/>
          <w:tab w:pos="4536" w:val="center"/>
        </w:tabs>
        <w:overflowPunct/>
        <w:autoSpaceDE/>
        <w:autoSpaceDN/>
        <w:adjustRightInd/>
        <w:spacing w:after="240" w:before="240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ab/>
      </w:r>
      <w:r>
        <w:rPr>
          <w:rFonts w:cstheme="minorBidi" w:eastAsiaTheme="minorHAnsi" w:hAnsi="Times New Roman" w:ascii="Times New Roman"/>
          <w:szCs w:val="22"/>
          <w:lang w:eastAsia="en-US"/>
        </w:rPr>
        <w:tab/>
      </w:r>
      <w:r w:rsidR="00E34FC7" w:rsidRPr="00E34FC7">
        <w:rPr>
          <w:rFonts w:cstheme="minorBidi" w:eastAsiaTheme="minorHAnsi" w:hAnsi="Times New Roman" w:ascii="Times New Roman"/>
          <w:szCs w:val="22"/>
          <w:lang w:eastAsia="en-US"/>
        </w:rPr>
        <w:t>z a k l j u č i o   j e</w:t>
      </w:r>
    </w:p>
    <w:p w:rsidRDefault="00D01505" w:rsidP="00D01505" w:rsidR="00D01505" w:rsidRPr="00D01505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color w:val="C00000"/>
          <w:szCs w:val="24"/>
          <w:lang w:eastAsia="en-US"/>
        </w:rPr>
        <w:tab/>
      </w:r>
      <w:r w:rsidRPr="00D01505">
        <w:rPr>
          <w:rFonts w:hAnsi="Times New Roman" w:ascii="Times New Roman"/>
          <w:szCs w:val="24"/>
          <w:lang w:eastAsia="en-US"/>
        </w:rPr>
        <w:t>I. Nalaže se  dužniku da roku od 3 dana od primitka zaključka ovom sudu dostavi:</w:t>
      </w:r>
    </w:p>
    <w:p w:rsidRDefault="00D01505" w:rsidP="00D01505" w:rsidR="00D01505" w:rsidRPr="00D01505">
      <w:pPr>
        <w:overflowPunct/>
        <w:autoSpaceDE/>
        <w:autoSpaceDN/>
        <w:adjustRightInd/>
        <w:spacing w:before="60"/>
        <w:jc w:val="both"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t xml:space="preserve"> </w:t>
      </w:r>
      <w:r w:rsidRPr="00D01505">
        <w:rPr>
          <w:rFonts w:hAnsi="Times New Roman" w:ascii="Times New Roman"/>
          <w:szCs w:val="24"/>
          <w:lang w:eastAsia="en-US"/>
        </w:rPr>
        <w:tab/>
        <w:t>a) ugovore o radu za svakog od svojih zaposlenika (koji su u radnom odnosu i nakon rješenja od 16. listopada 2017. o otvaranju predstečajnog postupka)</w:t>
      </w:r>
    </w:p>
    <w:p w:rsidRDefault="00D01505" w:rsidP="00D01505" w:rsidR="00D01505" w:rsidRPr="00D01505">
      <w:pPr>
        <w:overflowPunct/>
        <w:autoSpaceDE/>
        <w:autoSpaceDN/>
        <w:adjustRightInd/>
        <w:spacing w:before="60"/>
        <w:jc w:val="both"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tab/>
        <w:t xml:space="preserve">b)  očitovanje </w:t>
      </w:r>
      <w:r w:rsidRPr="00D01505">
        <w:rPr>
          <w:rFonts w:hAnsi="Times New Roman" w:ascii="Times New Roman"/>
          <w:szCs w:val="24"/>
        </w:rPr>
        <w:t xml:space="preserve">ima li </w:t>
      </w:r>
      <w:r>
        <w:rPr>
          <w:rFonts w:hAnsi="Times New Roman" w:ascii="Times New Roman"/>
          <w:szCs w:val="24"/>
        </w:rPr>
        <w:t xml:space="preserve">dužnik </w:t>
      </w:r>
      <w:r w:rsidRPr="00D01505">
        <w:rPr>
          <w:rFonts w:hAnsi="Times New Roman" w:ascii="Times New Roman"/>
          <w:szCs w:val="24"/>
        </w:rPr>
        <w:t xml:space="preserve">dospjelih, a nepodmirenih obveza prema svojim radnicima </w:t>
      </w:r>
      <w:r w:rsidRPr="00D01505">
        <w:rPr>
          <w:rFonts w:hAnsi="Times New Roman" w:ascii="Times New Roman"/>
          <w:szCs w:val="24"/>
          <w:lang w:eastAsia="en-US"/>
        </w:rPr>
        <w:t>u smislu odredbe članka 64. stavka 1. točke 3. Stečajnog zakona („Narodne novine“ 71/15 i 104/17; dalje SZ), a za razdoblje za koje te obveze prema ugovorima o preuzimanju duga nije preuzeo preuzimatelj Skladgradnja d.o.o. Split.</w:t>
      </w:r>
    </w:p>
    <w:p w:rsidRDefault="001F0CEC" w:rsidP="00D01505" w:rsidR="00D01505" w:rsidRPr="00D01505">
      <w:pPr>
        <w:overflowPunct/>
        <w:autoSpaceDE/>
        <w:autoSpaceDN/>
        <w:adjustRightInd/>
        <w:spacing w:before="220"/>
        <w:jc w:val="both"/>
        <w:textAlignment w:val="auto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szCs w:val="24"/>
          <w:lang w:eastAsia="en-US"/>
        </w:rPr>
        <w:tab/>
        <w:t>II. Nalaže se</w:t>
      </w:r>
      <w:r w:rsidR="00D01505" w:rsidRPr="00D01505">
        <w:rPr>
          <w:rFonts w:hAnsi="Times New Roman" w:ascii="Times New Roman"/>
          <w:szCs w:val="24"/>
          <w:lang w:eastAsia="en-US"/>
        </w:rPr>
        <w:t xml:space="preserve"> dužniku da dostavi i dokaze na okolnost eventualno izvršenih plaćanja (podmirenja obveza) iz točke I</w:t>
      </w:r>
      <w:r w:rsidR="00D01505">
        <w:rPr>
          <w:rFonts w:hAnsi="Times New Roman" w:ascii="Times New Roman"/>
          <w:szCs w:val="24"/>
          <w:lang w:eastAsia="en-US"/>
        </w:rPr>
        <w:t>.</w:t>
      </w:r>
      <w:r w:rsidR="00D01505" w:rsidRPr="00D01505">
        <w:rPr>
          <w:rFonts w:hAnsi="Times New Roman" w:ascii="Times New Roman"/>
          <w:szCs w:val="24"/>
          <w:lang w:eastAsia="en-US"/>
        </w:rPr>
        <w:t xml:space="preserve"> ovog zaključka.</w:t>
      </w:r>
    </w:p>
    <w:p w:rsidRDefault="00DE415C" w:rsidP="00D01505" w:rsidR="00DE415C" w:rsidRPr="00DE415C">
      <w:pPr>
        <w:tabs>
          <w:tab w:pos="1665" w:val="left"/>
        </w:tabs>
        <w:overflowPunct/>
        <w:autoSpaceDE/>
        <w:autoSpaceDN/>
        <w:adjustRightInd/>
        <w:spacing w:after="120" w:before="240"/>
        <w:jc w:val="center"/>
        <w:textAlignment w:val="auto"/>
        <w:rPr>
          <w:rFonts w:hAnsi="Times New Roman" w:ascii="Times New Roman"/>
          <w:szCs w:val="24"/>
          <w:lang w:eastAsia="en-US"/>
        </w:rPr>
      </w:pPr>
      <w:r w:rsidRPr="00DE415C">
        <w:rPr>
          <w:rFonts w:hAnsi="Times New Roman" w:ascii="Times New Roman"/>
          <w:szCs w:val="24"/>
          <w:lang w:eastAsia="en-US"/>
        </w:rPr>
        <w:t>Obrazloženje</w:t>
      </w:r>
    </w:p>
    <w:p w:rsidRDefault="00DE415C" w:rsidP="00D01505" w:rsidR="00D01505" w:rsidRPr="00D01505">
      <w:pPr>
        <w:jc w:val="both"/>
        <w:rPr>
          <w:rFonts w:hAnsi="Times New Roman" w:ascii="Times New Roman"/>
          <w:szCs w:val="24"/>
          <w:lang w:eastAsia="en-US"/>
        </w:rPr>
      </w:pPr>
      <w:r w:rsidRPr="00DE415C">
        <w:rPr>
          <w:rFonts w:hAnsi="Times New Roman" w:ascii="Times New Roman"/>
          <w:szCs w:val="24"/>
          <w:lang w:eastAsia="en-US"/>
        </w:rPr>
        <w:tab/>
      </w:r>
      <w:r w:rsidR="00D01505" w:rsidRPr="00D01505">
        <w:rPr>
          <w:rFonts w:hAnsi="Times New Roman" w:ascii="Times New Roman"/>
          <w:szCs w:val="24"/>
          <w:lang w:eastAsia="en-US"/>
        </w:rPr>
        <w:t>U odnosu na dužnikove obveze u smislu odredbe članka 64. stavka 1. točke 3. SZ-a</w:t>
      </w:r>
      <w:r w:rsidR="00D01505" w:rsidRPr="00D01505">
        <w:rPr>
          <w:rFonts w:hAnsi="Times New Roman" w:ascii="Times New Roman"/>
          <w:b/>
          <w:color w:val="C00000"/>
          <w:szCs w:val="24"/>
          <w:lang w:eastAsia="en-US"/>
        </w:rPr>
        <w:t xml:space="preserve"> </w:t>
      </w:r>
      <w:r w:rsidR="00D01505" w:rsidRPr="00D01505">
        <w:rPr>
          <w:rFonts w:hAnsi="Times New Roman" w:ascii="Times New Roman"/>
          <w:szCs w:val="24"/>
          <w:lang w:eastAsia="en-US"/>
        </w:rPr>
        <w:t xml:space="preserve">ovom sudu je dostavljeno 11 ugovora sklopljenih između vjerovnika (radnika)  predstečajnog dužnika i preuzimatelja duga Skladgradnja d.o.o. Split sklopljenih 2. ožujka 2018. Tim ugovorima o preuzimanju duga definirani su iznosi koje preuzimatelj duga treba umjesto dužnika isplatiti vjerovnicima, a za neisplaćene brutto plaće (u konkretno definiranim iznosima koje treba uvećati za pripadajuće zakonske zatezne kamate do namirenja), a koji su nastali u konkretno definiranom razdoblju i sa definiranim rokom podmirenja. </w:t>
      </w:r>
    </w:p>
    <w:p w:rsidRDefault="00D01505" w:rsidP="00D01505" w:rsidR="00D01505" w:rsidRPr="00D01505">
      <w:pPr>
        <w:overflowPunct/>
        <w:autoSpaceDE/>
        <w:autoSpaceDN/>
        <w:adjustRightInd/>
        <w:spacing w:before="220"/>
        <w:jc w:val="both"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tab/>
        <w:t>Kako obveze (koje su nastale u konkretnom razdoblju), koje je preuzimatelj duga Skladgradnja d.o.o. (za kojega je ovaj sud 5. listopada 2018. od FINA-e zaprimio prijedlog za otvaranje stečajnog postupka, s pozivom na članak 110. stavak 1. SZ-a, a temeljem utvrđenja da na dan 1. listopada 2018. dužnik u Očevidniku redoslijeda osnova za plaćanje ima evidentirane neizvršene osnove za plaćanje u neprekinutom razdoblju od 120 dana, u ukupnom iznosu od 12.822.220,78 kn) preuzeo od dužnika uz suglasnost vjerovnika (radnika), nesporno ne obuhvaćaju i dužnikove obveze koje su u međuvremenu nastale (izvan razdoblja definiranog ugovorima o preuzimanju duga), odlučeno je kao u izreci ovog zaključka.</w:t>
      </w:r>
    </w:p>
    <w:p w:rsidRDefault="00D01505" w:rsidP="00D01505" w:rsidR="00D01505" w:rsidRPr="00D01505">
      <w:pPr>
        <w:overflowPunct/>
        <w:autoSpaceDE/>
        <w:autoSpaceDN/>
        <w:adjustRightInd/>
        <w:spacing w:before="220"/>
        <w:jc w:val="both"/>
        <w:textAlignment w:val="auto"/>
        <w:rPr>
          <w:rFonts w:hAnsi="Times New Roman" w:ascii="Times New Roman"/>
          <w:color w:val="C00000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lastRenderedPageBreak/>
        <w:tab/>
        <w:t>O postojanju činjenica o ispunjenju dužnikovih obveza ovaj sud će zaključiti primjenom pravila o teretu dokazivanja sukladno članku 221.a Zakona o parničnom postupku („Narodne novine“ broj 53/91, 91/92, 112/99, 88/01, 117/03, 88/05, 2/07, 84/08, 96/08, 123/08, 57/11 i 25/13)</w:t>
      </w:r>
      <w:r w:rsidRPr="00D01505">
        <w:rPr>
          <w:rFonts w:hAnsi="Times New Roman" w:ascii="Times New Roman"/>
          <w:color w:val="C00000"/>
          <w:szCs w:val="24"/>
          <w:lang w:eastAsia="en-US"/>
        </w:rPr>
        <w:t xml:space="preserve"> .</w:t>
      </w:r>
    </w:p>
    <w:p w:rsidRDefault="00D01505" w:rsidP="00D01505" w:rsidR="00D01505" w:rsidRPr="00D01505">
      <w:pPr>
        <w:overflowPunct/>
        <w:autoSpaceDE/>
        <w:autoSpaceDN/>
        <w:adjustRightInd/>
        <w:ind w:firstLine="720"/>
        <w:jc w:val="center"/>
        <w:textAlignment w:val="auto"/>
        <w:rPr>
          <w:rFonts w:hAnsi="Times New Roman" w:ascii="Times New Roman"/>
          <w:bCs/>
          <w:szCs w:val="24"/>
        </w:rPr>
      </w:pPr>
      <w:r w:rsidRPr="00D01505">
        <w:rPr>
          <w:rFonts w:hAnsi="Times New Roman" w:ascii="Times New Roman"/>
          <w:szCs w:val="24"/>
          <w:lang w:eastAsia="en-US"/>
        </w:rPr>
        <w:tab/>
      </w:r>
    </w:p>
    <w:p w:rsidRDefault="001F0CEC" w:rsidP="00D01505" w:rsidR="00D01505" w:rsidRPr="00D01505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szCs w:val="24"/>
          <w:lang w:eastAsia="en-US"/>
        </w:rPr>
        <w:t>U Splitu</w:t>
      </w:r>
      <w:r w:rsidR="00D01505" w:rsidRPr="00D01505">
        <w:rPr>
          <w:rFonts w:hAnsi="Times New Roman" w:ascii="Times New Roman"/>
          <w:szCs w:val="24"/>
          <w:lang w:eastAsia="en-US"/>
        </w:rPr>
        <w:t xml:space="preserve"> 11. prosinca 2018.</w:t>
      </w:r>
    </w:p>
    <w:p w:rsidRDefault="00D01505" w:rsidP="00D01505" w:rsidR="00D01505" w:rsidRPr="00D01505">
      <w:pPr>
        <w:overflowPunct/>
        <w:autoSpaceDE/>
        <w:autoSpaceDN/>
        <w:adjustRightInd/>
        <w:ind w:left="708"/>
        <w:jc w:val="right"/>
        <w:textAlignment w:val="auto"/>
        <w:rPr>
          <w:rFonts w:hAnsi="Times New Roman" w:ascii="Times New Roman"/>
          <w:szCs w:val="24"/>
        </w:rPr>
      </w:pPr>
      <w:r w:rsidRPr="00D01505">
        <w:rPr>
          <w:rFonts w:hAnsi="Times New Roman" w:ascii="Times New Roman"/>
          <w:szCs w:val="24"/>
        </w:rPr>
        <w:t xml:space="preserve">             </w:t>
      </w:r>
    </w:p>
    <w:p w:rsidRDefault="00D01505" w:rsidP="0094096C" w:rsidR="00804483" w:rsidRPr="00804483">
      <w:pPr>
        <w:ind w:left="6372"/>
        <w:jc w:val="center"/>
        <w:rPr>
          <w:rFonts w:hAnsi="Times New Roman" w:ascii="Times New Roman"/>
        </w:rPr>
      </w:pPr>
      <w:r w:rsidRPr="00D01505">
        <w:rPr>
          <w:rFonts w:hAnsi="Times New Roman" w:ascii="Times New Roman"/>
          <w:szCs w:val="24"/>
          <w:lang w:eastAsia="en-US"/>
        </w:rPr>
        <w:t>Sutkinja</w:t>
      </w:r>
      <w:r w:rsidRPr="00D01505">
        <w:rPr>
          <w:rFonts w:hAnsi="Times New Roman" w:ascii="Times New Roman"/>
          <w:szCs w:val="24"/>
          <w:lang w:eastAsia="en-US"/>
        </w:rPr>
        <w:br/>
        <w:t xml:space="preserve">Ana Golub </w:t>
      </w:r>
      <w:r w:rsidRPr="00804483">
        <w:rPr>
          <w:rFonts w:hAnsi="Times New Roman" w:ascii="Times New Roman"/>
          <w:szCs w:val="24"/>
          <w:lang w:eastAsia="en-US"/>
        </w:rPr>
        <w:t>Gruić</w:t>
      </w:r>
      <w:r w:rsidR="00804483" w:rsidRPr="00804483">
        <w:rPr>
          <w:rFonts w:hAnsi="Times New Roman" w:ascii="Times New Roman"/>
        </w:rPr>
        <w:t>, v.r.</w:t>
      </w:r>
    </w:p>
    <w:p w:rsidRDefault="00804483" w:rsidP="008832A6" w:rsidR="00804483" w:rsidRPr="00804483">
      <w:pPr>
        <w:jc w:val="right"/>
        <w:rPr>
          <w:rFonts w:hAnsi="Times New Roman" w:ascii="Times New Roman"/>
        </w:rPr>
      </w:pPr>
      <w:r w:rsidRPr="00804483">
        <w:rPr>
          <w:rFonts w:hAnsi="Times New Roman" w:ascii="Times New Roman"/>
        </w:rPr>
        <w:t>za točnost otpravka – ovlašteni službenik</w:t>
      </w:r>
    </w:p>
    <w:p w:rsidRDefault="00804483" w:rsidP="008832A6" w:rsidR="00804483" w:rsidRPr="00804483">
      <w:pPr>
        <w:ind w:firstLine="708" w:left="4956"/>
        <w:jc w:val="center"/>
        <w:rPr>
          <w:rFonts w:hAnsi="Times New Roman" w:ascii="Times New Roman"/>
        </w:rPr>
      </w:pPr>
      <w:r w:rsidRPr="00804483">
        <w:rPr>
          <w:rFonts w:hAnsi="Times New Roman" w:ascii="Times New Roman"/>
        </w:rPr>
        <w:t>Ana Bosančić</w:t>
      </w:r>
    </w:p>
    <w:p w:rsidRDefault="00D01505" w:rsidP="00D01505" w:rsidR="00D01505">
      <w:pPr>
        <w:overflowPunct/>
        <w:autoSpaceDE/>
        <w:autoSpaceDN/>
        <w:adjustRightInd/>
        <w:ind w:left="7080"/>
        <w:jc w:val="center"/>
        <w:textAlignment w:val="auto"/>
        <w:rPr>
          <w:rFonts w:hAnsi="Times New Roman" w:ascii="Times New Roman"/>
          <w:szCs w:val="24"/>
          <w:lang w:eastAsia="en-US"/>
        </w:rPr>
      </w:pPr>
    </w:p>
    <w:p w:rsidRDefault="00D01505" w:rsidP="00D01505" w:rsidR="00D01505" w:rsidRPr="00D01505">
      <w:pPr>
        <w:overflowPunct/>
        <w:autoSpaceDE/>
        <w:autoSpaceDN/>
        <w:adjustRightInd/>
        <w:ind w:left="7080"/>
        <w:jc w:val="center"/>
        <w:textAlignment w:val="auto"/>
        <w:rPr>
          <w:rFonts w:hAnsi="Times New Roman" w:ascii="Times New Roman"/>
          <w:szCs w:val="24"/>
          <w:lang w:eastAsia="en-US"/>
        </w:rPr>
      </w:pPr>
    </w:p>
    <w:p w:rsidRDefault="00D01505" w:rsidP="00D01505" w:rsidR="00D01505" w:rsidRPr="00D01505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t>Uputa o pravnom lijeku: Protiv ovog zaključka nije dopuštena žalba.</w:t>
      </w:r>
    </w:p>
    <w:sectPr w:rsidSect="00A312EF" w:rsidR="00D01505" w:rsidRPr="00D0150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04483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1F0CEC" w:rsidP="006300BC" w:rsidR="00B306C7" w:rsidRPr="00EC3760">
    <w:pPr>
      <w:pStyle w:val="Zaglavlje"/>
      <w:jc w:val="right"/>
      <w:rPr>
        <w:color w:val="000000"/>
        <w:sz w:val="22"/>
        <w:szCs w:val="22"/>
      </w:rPr>
    </w:pPr>
    <w:r>
      <w:rPr>
        <w:rFonts w:hAnsi="Times New Roman" w:ascii="Times New Roman"/>
      </w:rPr>
      <w:t>Poslovni broj: 11.</w:t>
    </w:r>
    <w:r w:rsidR="00D01505" w:rsidRPr="00E34FC7">
      <w:rPr>
        <w:rFonts w:hAnsi="Times New Roman" w:ascii="Times New Roman"/>
        <w:noProof/>
        <w:szCs w:val="24"/>
      </w:rPr>
      <w:t>St-</w:t>
    </w:r>
    <w:r w:rsidR="00D01505">
      <w:rPr>
        <w:rFonts w:hAnsi="Times New Roman" w:ascii="Times New Roman"/>
        <w:noProof/>
        <w:szCs w:val="24"/>
      </w:rPr>
      <w:t>867/2018-7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610C58"/>
    <w:multiLevelType w:val="hybridMultilevel"/>
    <w:tmpl w:val="307C93C0"/>
    <w:lvl w:tplc="7EAE6E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F8C4AA7"/>
    <w:multiLevelType w:val="hybridMultilevel"/>
    <w:tmpl w:val="B726C0C0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0"/>
  </w:num>
  <w:num w:numId="9">
    <w:abstractNumId w:val="5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1F0CE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04483"/>
    <w:rsid w:val="00820E13"/>
    <w:rsid w:val="00854C51"/>
    <w:rsid w:val="00863EAF"/>
    <w:rsid w:val="00886721"/>
    <w:rsid w:val="008879EB"/>
    <w:rsid w:val="0089670D"/>
    <w:rsid w:val="008D55BE"/>
    <w:rsid w:val="008E7DB6"/>
    <w:rsid w:val="00923BFA"/>
    <w:rsid w:val="00932300"/>
    <w:rsid w:val="00995185"/>
    <w:rsid w:val="009A61EE"/>
    <w:rsid w:val="009C51EC"/>
    <w:rsid w:val="009F4006"/>
    <w:rsid w:val="009F67C3"/>
    <w:rsid w:val="00A312EF"/>
    <w:rsid w:val="00A47609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01505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415C"/>
    <w:rsid w:val="00DE6AA7"/>
    <w:rsid w:val="00E34FC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semiHidden/>
    <w:rsid w:val="00E34FC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Reetkatablice1" w:type="table">
    <w:name w:val="Rešetka tablice1"/>
    <w:basedOn w:val="Obinatablica"/>
    <w:next w:val="Reetkatablice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semiHidden/>
    <w:rsid w:val="00E34FC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Reetkatablice1" w:type="table">
    <w:name w:val="Rešetka tablice1"/>
    <w:basedOn w:val="Obinatablica"/>
    <w:next w:val="Reetkatablice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4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164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St-288/2018</izvorni_sadrzaj>
    <derivirana_varijabla naziv="DomainObject.Predmet.Opis_1">Ukinuti otvoren iz St-288/2018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Tomislav Krka</item>
    </izvorni_sadrzaj>
    <derivirana_varijabla naziv="DomainObject.Predmet.OstaliListFormated_1">
      <item>Odvjetnik Tomislav Krka</item>
    </derivirana_varijabla>
  </DomainObject.Predmet.OstaliListFormated>
  <DomainObject.Predmet.OstaliListFormatedOIB>
    <izvorni_sadrzaj>
      <item>Odvjetnik Tomislav Krka, OIB 35059945589</item>
    </izvorni_sadrzaj>
    <derivirana_varijabla naziv="DomainObject.Predmet.OstaliListFormatedOIB_1">
      <item>Odvjetnik Tomislav Krka, OIB 35059945589</item>
    </derivirana_varijabla>
  </DomainObject.Predmet.OstaliListFormatedOIB>
  <DomainObject.Predmet.OstaliListFormatedWithAdress>
    <izvorni_sadrzaj>
      <item>Odvjetnik Tomislav Krka, Starčevićeva 13, 21000 Split</item>
    </izvorni_sadrzaj>
    <derivirana_varijabla naziv="DomainObject.Predmet.OstaliListFormatedWithAdress_1">
      <item>Odvjetnik Tomislav Krka, Starčevićeva 13, 21000 Split</item>
    </derivirana_varijabla>
  </DomainObject.Predmet.OstaliListFormatedWithAdress>
  <DomainObject.Predmet.OstaliListFormatedWithAdressOIB>
    <izvorni_sadrzaj>
      <item>Odvjetnik Tomislav Krka, OIB 35059945589, Starčevićeva 13, 21000 Split</item>
    </izvorni_sadrzaj>
    <derivirana_varijabla naziv="DomainObject.Predmet.OstaliListFormatedWithAdressOIB_1">
      <item>Odvjetnik Tomislav Krka, OIB 35059945589, Starčevićeva 13, 21000 Split</item>
    </derivirana_varijabla>
  </DomainObject.Predmet.OstaliListFormatedWithAdressOIB>
  <DomainObject.Predmet.OstaliListNazivFormated>
    <izvorni_sadrzaj>
      <item>Odvjetnik Tomislav Krka</item>
    </izvorni_sadrzaj>
    <derivirana_varijabla naziv="DomainObject.Predmet.OstaliListNazivFormated_1">
      <item>Odvjetnik Tomislav Krka</item>
    </derivirana_varijabla>
  </DomainObject.Predmet.OstaliListNazivFormated>
  <DomainObject.Predmet.OstaliListNazivFormatedOIB>
    <izvorni_sadrzaj>
      <item>Odvjetnik Tomislav Krka, OIB 35059945589</item>
    </izvorni_sadrzaj>
    <derivirana_varijabla naziv="DomainObject.Predmet.OstaliListNazivFormatedOIB_1">
      <item>Odvjetnik Tomislav Krka,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  <item>Odvjetnik Tomislav Krka</item>
    </izvorni_sadrzaj>
    <derivirana_varijabla naziv="DomainObject.Predmet.SudioniciListNaziv_1">
      <item>RADNIČKI NOGOMETNI KLUB SPLIT sportsko dioničko društvo za obavljanje sportskih djelatnosti</item>
      <item>Odvjetnik Tomislav Krka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  <item>Odvjetnik Tomislav Krka, OIB 35059945589, Starčevićeva 13,21000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  <item>Odvjetnik Tomislav Krka,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19808345315</item>
      <item>, OIB 35059945589</item>
    </izvorni_sadrzaj>
    <derivirana_varijabla naziv="DomainObject.Predmet.SudioniciListNazivOIB_1">
      <item>, OIB 19808345315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E49D9-1D9E-490B-A15E-1DC751FEA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2384</properties:Characters>
  <properties:Lines>60</properties:Lines>
  <properties:Paragraphs>21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2018-12-11T08:04:00Z</cp:lastPrinted>
  <dcterms:modified xmlns:xsi="http://www.w3.org/2001/XMLSchema-instance" xsi:type="dcterms:W3CDTF">2018-12-11T08:04:00Z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(St-867-2018 Zaključak - RNK isplata plaća.docx)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