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1415" w14:paraId="827141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14C3B" w:rsidP="00E14C3B" w:rsidR="00E14C3B" w:rsidRPr="00E14C3B">
      <w:pPr>
        <w:spacing w:after="0"/>
        <w:rPr>
          <w:rFonts w:cs="Times New Roman" w:eastAsia="Times New Roman"/>
          <w:lang w:eastAsia="hr-HR"/>
        </w:rPr>
      </w:pPr>
      <w:r w:rsidRPr="00E14C3B">
        <w:rPr>
          <w:rFonts w:cs="Times New Roman" w:eastAsia="Times New Roman"/>
          <w:bCs/>
          <w:lang w:eastAsia="hr-HR"/>
        </w:rPr>
        <w:t xml:space="preserve">     REPUBLIKA HRVATSKA                                                </w:t>
      </w:r>
      <w:r w:rsidRPr="00E14C3B">
        <w:rPr>
          <w:rFonts w:cs="Times New Roman" w:eastAsia="Times New Roman"/>
          <w:lang w:eastAsia="hr-HR"/>
        </w:rPr>
        <w:t>Poslovni broj: 14. St-807/2018-2</w:t>
      </w:r>
    </w:p>
    <w:p w:rsidRDefault="00E14C3B" w:rsidP="00E14C3B" w:rsidR="00E14C3B" w:rsidRPr="00E14C3B">
      <w:pPr>
        <w:spacing w:after="0"/>
        <w:rPr>
          <w:rFonts w:cs="Times New Roman" w:eastAsia="Times New Roman"/>
          <w:lang w:eastAsia="hr-HR"/>
        </w:rPr>
      </w:pPr>
      <w:r w:rsidRPr="00E14C3B">
        <w:rPr>
          <w:rFonts w:cs="Times New Roman" w:eastAsia="Times New Roman"/>
          <w:bCs/>
          <w:lang w:eastAsia="hr-HR"/>
        </w:rPr>
        <w:t xml:space="preserve">  TRGOVAČKI SUD U SPLITU</w:t>
      </w:r>
      <w:r w:rsidRPr="00E14C3B">
        <w:rPr>
          <w:rFonts w:cs="Times New Roman" w:eastAsia="Times New Roman"/>
          <w:lang w:eastAsia="hr-HR"/>
        </w:rPr>
        <w:t xml:space="preserve">                                           </w:t>
      </w:r>
    </w:p>
    <w:p w:rsidRDefault="00E14C3B" w:rsidP="00E14C3B" w:rsidR="00E14C3B" w:rsidRPr="00E14C3B">
      <w:pPr>
        <w:spacing w:after="0"/>
        <w:rPr>
          <w:rFonts w:cs="Times New Roman" w:eastAsia="Times New Roman"/>
          <w:lang w:eastAsia="hr-HR"/>
        </w:rPr>
      </w:pPr>
      <w:r w:rsidRPr="00E14C3B">
        <w:rPr>
          <w:rFonts w:cs="Times New Roman" w:eastAsia="Times New Roman"/>
          <w:lang w:eastAsia="hr-HR"/>
        </w:rPr>
        <w:t xml:space="preserve"> </w:t>
      </w:r>
      <w:proofErr w:type="spellStart"/>
      <w:r w:rsidRPr="00E14C3B">
        <w:rPr>
          <w:rFonts w:cs="Times New Roman" w:eastAsia="Times New Roman"/>
          <w:lang w:eastAsia="hr-HR"/>
        </w:rPr>
        <w:t>Sukoišanska</w:t>
      </w:r>
      <w:proofErr w:type="spellEnd"/>
      <w:r w:rsidRPr="00E14C3B">
        <w:rPr>
          <w:rFonts w:cs="Times New Roman" w:eastAsia="Times New Roman"/>
          <w:lang w:eastAsia="hr-HR"/>
        </w:rPr>
        <w:t xml:space="preserve"> 6. - 21 000  S P L I T</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center"/>
        <w:rPr>
          <w:rFonts w:cs="Times New Roman" w:eastAsia="Times New Roman"/>
          <w:lang w:eastAsia="hr-HR"/>
        </w:rPr>
      </w:pPr>
      <w:r w:rsidRPr="00E14C3B">
        <w:rPr>
          <w:rFonts w:cs="Times New Roman" w:eastAsia="Times New Roman"/>
          <w:lang w:eastAsia="hr-HR"/>
        </w:rPr>
        <w:t>R E P U B L I K A  H R V A T S K A</w:t>
      </w:r>
    </w:p>
    <w:p w:rsidRDefault="00E14C3B" w:rsidP="00E14C3B" w:rsidR="00E14C3B" w:rsidRPr="00E14C3B">
      <w:pPr>
        <w:spacing w:after="0"/>
        <w:jc w:val="center"/>
        <w:rPr>
          <w:rFonts w:cs="Times New Roman" w:eastAsia="Times New Roman"/>
          <w:lang w:eastAsia="hr-HR"/>
        </w:rPr>
      </w:pPr>
    </w:p>
    <w:p w:rsidRDefault="00E14C3B" w:rsidP="00E14C3B" w:rsidR="00E14C3B" w:rsidRPr="00E14C3B">
      <w:pPr>
        <w:spacing w:after="0"/>
        <w:jc w:val="center"/>
        <w:rPr>
          <w:rFonts w:cs="Times New Roman" w:eastAsia="Times New Roman"/>
          <w:lang w:eastAsia="hr-HR"/>
        </w:rPr>
      </w:pPr>
      <w:r w:rsidRPr="00E14C3B">
        <w:rPr>
          <w:rFonts w:cs="Times New Roman" w:eastAsia="Times New Roman"/>
          <w:lang w:eastAsia="hr-HR"/>
        </w:rPr>
        <w:t>R J E Š E NJ E</w:t>
      </w:r>
    </w:p>
    <w:p w:rsidRDefault="00E14C3B" w:rsidP="00E14C3B" w:rsidR="00E14C3B" w:rsidRPr="00E14C3B">
      <w:pPr>
        <w:spacing w:after="0"/>
        <w:jc w:val="center"/>
        <w:rPr>
          <w:rFonts w:cs="Times New Roman" w:eastAsia="Times New Roman"/>
          <w:b/>
          <w:lang w:eastAsia="hr-HR"/>
        </w:rPr>
      </w:pPr>
    </w:p>
    <w:p w:rsidRDefault="00E14C3B" w:rsidP="00E14C3B" w:rsidR="00E14C3B" w:rsidRPr="00E14C3B">
      <w:pPr>
        <w:spacing w:after="0"/>
        <w:jc w:val="center"/>
        <w:rPr>
          <w:rFonts w:cs="Times New Roman" w:eastAsia="Times New Roman"/>
          <w:b/>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b/>
          <w:lang w:eastAsia="hr-HR"/>
        </w:rPr>
        <w:tab/>
      </w:r>
      <w:r w:rsidRPr="00E14C3B">
        <w:rPr>
          <w:rFonts w:cs="Times New Roman" w:eastAsia="Times New Roman"/>
          <w:lang w:eastAsia="hr-HR"/>
        </w:rPr>
        <w:t xml:space="preserve">Trgovački sud u Splitu, po sudcu Jozi Ćaleti, u stečajnom postupku nad bivšim stečajnim Dužnikom: DELPHI SPA, d.o.o., za djelatnost održavanja i njege tijela, Split, </w:t>
      </w:r>
      <w:proofErr w:type="spellStart"/>
      <w:r w:rsidRPr="00E14C3B">
        <w:rPr>
          <w:rFonts w:cs="Times New Roman" w:eastAsia="Times New Roman"/>
          <w:lang w:eastAsia="hr-HR"/>
        </w:rPr>
        <w:t>Dobrilina</w:t>
      </w:r>
      <w:proofErr w:type="spellEnd"/>
      <w:r w:rsidRPr="00E14C3B">
        <w:rPr>
          <w:rFonts w:cs="Times New Roman" w:eastAsia="Times New Roman"/>
          <w:lang w:eastAsia="hr-HR"/>
        </w:rPr>
        <w:t xml:space="preserve"> 1, OIB: 93017967931, MBS: 060208292. (Dužnik), kojega zastupa stečajni upravitelj </w:t>
      </w:r>
      <w:proofErr w:type="spellStart"/>
      <w:r w:rsidRPr="00E14C3B">
        <w:rPr>
          <w:rFonts w:cs="Times New Roman" w:eastAsia="Times New Roman"/>
          <w:lang w:eastAsia="hr-HR"/>
        </w:rPr>
        <w:t>Vencel</w:t>
      </w:r>
      <w:proofErr w:type="spellEnd"/>
      <w:r w:rsidRPr="00E14C3B">
        <w:rPr>
          <w:rFonts w:cs="Times New Roman" w:eastAsia="Times New Roman"/>
          <w:lang w:eastAsia="hr-HR"/>
        </w:rPr>
        <w:t xml:space="preserve"> </w:t>
      </w:r>
      <w:proofErr w:type="spellStart"/>
      <w:r w:rsidRPr="00E14C3B">
        <w:rPr>
          <w:rFonts w:cs="Times New Roman" w:eastAsia="Times New Roman"/>
          <w:lang w:eastAsia="hr-HR"/>
        </w:rPr>
        <w:t>Čuljak</w:t>
      </w:r>
      <w:proofErr w:type="spellEnd"/>
      <w:r w:rsidRPr="00E14C3B">
        <w:rPr>
          <w:rFonts w:cs="Times New Roman" w:eastAsia="Times New Roman"/>
          <w:lang w:eastAsia="hr-HR"/>
        </w:rPr>
        <w:t xml:space="preserve">, iz Osijeka, </w:t>
      </w:r>
      <w:proofErr w:type="spellStart"/>
      <w:r w:rsidRPr="00E14C3B">
        <w:rPr>
          <w:rFonts w:cs="Times New Roman" w:eastAsia="Times New Roman"/>
          <w:lang w:eastAsia="hr-HR"/>
        </w:rPr>
        <w:t>Plješevička</w:t>
      </w:r>
      <w:proofErr w:type="spellEnd"/>
      <w:r w:rsidRPr="00E14C3B">
        <w:rPr>
          <w:rFonts w:cs="Times New Roman" w:eastAsia="Times New Roman"/>
          <w:lang w:eastAsia="hr-HR"/>
        </w:rPr>
        <w:t xml:space="preserve"> 16/E, OIB: 60951188779, (Stečajni upravitelj), odlučujući o prijedlogu Stečajnog upravitelja od 13. (19) prosinca 2016. za određenjem nastavljanja postupka radi naknadne diobe, 23. listopada 2018.</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center"/>
        <w:rPr>
          <w:rFonts w:cs="Times New Roman" w:eastAsia="Times New Roman"/>
          <w:lang w:eastAsia="hr-HR"/>
        </w:rPr>
      </w:pPr>
      <w:r w:rsidRPr="00E14C3B">
        <w:rPr>
          <w:rFonts w:cs="Times New Roman" w:eastAsia="Times New Roman"/>
          <w:lang w:eastAsia="hr-HR"/>
        </w:rPr>
        <w:t>r i j e š i o    j e</w:t>
      </w:r>
    </w:p>
    <w:p w:rsidRDefault="00E14C3B" w:rsidP="00E14C3B" w:rsidR="00E14C3B" w:rsidRPr="00E14C3B">
      <w:pPr>
        <w:spacing w:after="0"/>
        <w:jc w:val="center"/>
        <w:rPr>
          <w:rFonts w:cs="Times New Roman" w:eastAsia="Times New Roman"/>
          <w:lang w:eastAsia="hr-HR"/>
        </w:rPr>
      </w:pPr>
    </w:p>
    <w:p w:rsidRDefault="00E14C3B" w:rsidP="00E14C3B" w:rsidR="00E14C3B" w:rsidRPr="00E14C3B">
      <w:pPr>
        <w:spacing w:after="0"/>
        <w:jc w:val="center"/>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          Odbija se prijedlog stečajnog upravitelja </w:t>
      </w:r>
      <w:proofErr w:type="spellStart"/>
      <w:r w:rsidRPr="00E14C3B">
        <w:rPr>
          <w:rFonts w:cs="Times New Roman" w:eastAsia="Times New Roman"/>
          <w:lang w:eastAsia="hr-HR"/>
        </w:rPr>
        <w:t>Vencela</w:t>
      </w:r>
      <w:proofErr w:type="spellEnd"/>
      <w:r w:rsidRPr="00E14C3B">
        <w:rPr>
          <w:rFonts w:cs="Times New Roman" w:eastAsia="Times New Roman"/>
          <w:lang w:eastAsia="hr-HR"/>
        </w:rPr>
        <w:t xml:space="preserve"> </w:t>
      </w:r>
      <w:proofErr w:type="spellStart"/>
      <w:r w:rsidRPr="00E14C3B">
        <w:rPr>
          <w:rFonts w:cs="Times New Roman" w:eastAsia="Times New Roman"/>
          <w:lang w:eastAsia="hr-HR"/>
        </w:rPr>
        <w:t>Čuljak</w:t>
      </w:r>
      <w:proofErr w:type="spellEnd"/>
      <w:r w:rsidRPr="00E14C3B">
        <w:rPr>
          <w:rFonts w:cs="Times New Roman" w:eastAsia="Times New Roman"/>
          <w:lang w:eastAsia="hr-HR"/>
        </w:rPr>
        <w:t xml:space="preserve">, iz Osijeka, </w:t>
      </w:r>
      <w:proofErr w:type="spellStart"/>
      <w:r w:rsidRPr="00E14C3B">
        <w:rPr>
          <w:rFonts w:cs="Times New Roman" w:eastAsia="Times New Roman"/>
          <w:lang w:eastAsia="hr-HR"/>
        </w:rPr>
        <w:t>Plješevička</w:t>
      </w:r>
      <w:proofErr w:type="spellEnd"/>
      <w:r w:rsidRPr="00E14C3B">
        <w:rPr>
          <w:rFonts w:cs="Times New Roman" w:eastAsia="Times New Roman"/>
          <w:lang w:eastAsia="hr-HR"/>
        </w:rPr>
        <w:t xml:space="preserve"> 16/E, OIB: 60951188779, od 13. (19) prosinca 2016., za određenjem nastavljanja postupka radi naknadne diobe stečajne mase.</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center"/>
        <w:rPr>
          <w:rFonts w:cs="Times New Roman" w:eastAsia="Times New Roman"/>
          <w:lang w:eastAsia="hr-HR"/>
        </w:rPr>
      </w:pPr>
      <w:r w:rsidRPr="00E14C3B">
        <w:rPr>
          <w:rFonts w:cs="Times New Roman" w:eastAsia="Times New Roman"/>
          <w:lang w:eastAsia="hr-HR"/>
        </w:rPr>
        <w:t>Obrazloženje</w:t>
      </w:r>
    </w:p>
    <w:p w:rsidRDefault="00E14C3B" w:rsidP="00E14C3B" w:rsidR="00E14C3B" w:rsidRPr="00E14C3B">
      <w:pPr>
        <w:spacing w:after="0"/>
        <w:jc w:val="center"/>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ab/>
        <w:t xml:space="preserve">U skraćenome stečajnom postupku nad uvodno navedenim Dužnikom, Sud je Rješenjem od 26. travnja 2016, broj: 14. St-1314/2015, otvorio i zaključio isti skraćeni stečajni postupak, nakon pravomoćnosti kojeg Rješenja je Dužnik kao pravna osoba brisan iz sudskog registra i time prestao postojati kao pravni subjekt, sukladno čl. 286, stavku 3, SZ. </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          Podneskom od 13. (19) prosinca 2016, Stečajni upravitelj je predložio Sudu rješenjem odrediti nastavljanje postupka radi naknadne diobe stečajne mase, ističući kako je dopisom Županijskoga državnog odvjetništva u Splitu, broj: </w:t>
      </w:r>
      <w:proofErr w:type="spellStart"/>
      <w:r w:rsidRPr="00E14C3B">
        <w:rPr>
          <w:rFonts w:cs="Times New Roman" w:eastAsia="Times New Roman"/>
          <w:lang w:eastAsia="hr-HR"/>
        </w:rPr>
        <w:t>Ip</w:t>
      </w:r>
      <w:proofErr w:type="spellEnd"/>
      <w:r w:rsidRPr="00E14C3B">
        <w:rPr>
          <w:rFonts w:cs="Times New Roman" w:eastAsia="Times New Roman"/>
          <w:lang w:eastAsia="hr-HR"/>
        </w:rPr>
        <w:t xml:space="preserve">-DO-446/2016, od 04. svibnja 2016. obaviješten kako je temeljem dostavljene dokumentacije od strane Porezne uprave, Područni ured Dalmacija iz Splita, kod Dužnika pronađena imovina koja čini stečajnu masu i koju treba unovčiti i ostvarenim sredstvima postupiti sukladno odredbama članaka 133. i 289, SZ. Povodom ovog prijedloga Stečajnog upravitelja, Sud je Zaključkom od 28. lipnja 2017, broj: 14. St-1314/2015, pozvao Stečajnog upravitelja „(...) ispitati i ovom Sudu u roku od 20. dana dostaviti dokaz o fizičkom postojanju materijalne imovine uvodno navedenog Dužnika te o postojanju novčanih tražbina Dužnika prema njegovim dužnicima te o drugoj imovini Dužnika (udjeli i dionice u drugim društvima </w:t>
      </w:r>
      <w:proofErr w:type="spellStart"/>
      <w:r w:rsidRPr="00E14C3B">
        <w:rPr>
          <w:rFonts w:cs="Times New Roman" w:eastAsia="Times New Roman"/>
          <w:lang w:eastAsia="hr-HR"/>
        </w:rPr>
        <w:t>itd</w:t>
      </w:r>
      <w:proofErr w:type="spellEnd"/>
      <w:r w:rsidRPr="00E14C3B">
        <w:rPr>
          <w:rFonts w:cs="Times New Roman" w:eastAsia="Times New Roman"/>
          <w:lang w:eastAsia="hr-HR"/>
        </w:rPr>
        <w:t>), pri čemu sve navedeno treba biti što više</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szCs w:val="20"/>
          <w:lang w:eastAsia="hr-HR"/>
        </w:rPr>
      </w:pPr>
      <w:r w:rsidRPr="00E14C3B">
        <w:rPr>
          <w:rFonts w:cs="Times New Roman" w:eastAsia="Times New Roman"/>
          <w:lang w:eastAsia="hr-HR"/>
        </w:rPr>
        <w:lastRenderedPageBreak/>
        <w:t xml:space="preserve">                                                                       - 2 -                   </w:t>
      </w:r>
      <w:proofErr w:type="spellStart"/>
      <w:r w:rsidRPr="00E14C3B">
        <w:rPr>
          <w:rFonts w:cs="Times New Roman" w:eastAsia="Times New Roman"/>
          <w:lang w:eastAsia="hr-HR" w:val="en-AU"/>
        </w:rPr>
        <w:t>Poslovni</w:t>
      </w:r>
      <w:proofErr w:type="spellEnd"/>
      <w:r w:rsidRPr="00E14C3B">
        <w:rPr>
          <w:rFonts w:cs="Times New Roman" w:eastAsia="Times New Roman"/>
          <w:lang w:eastAsia="hr-HR" w:val="en-AU"/>
        </w:rPr>
        <w:t xml:space="preserve"> </w:t>
      </w:r>
      <w:proofErr w:type="spellStart"/>
      <w:r w:rsidRPr="00E14C3B">
        <w:rPr>
          <w:rFonts w:cs="Times New Roman" w:eastAsia="Times New Roman"/>
          <w:lang w:eastAsia="hr-HR" w:val="en-AU"/>
        </w:rPr>
        <w:t>broj</w:t>
      </w:r>
      <w:proofErr w:type="spellEnd"/>
      <w:r w:rsidRPr="00E14C3B">
        <w:rPr>
          <w:rFonts w:cs="Times New Roman" w:eastAsia="Times New Roman"/>
          <w:lang w:eastAsia="hr-HR" w:val="en-AU"/>
        </w:rPr>
        <w:t xml:space="preserve">: 14. </w:t>
      </w:r>
      <w:r w:rsidRPr="00E14C3B">
        <w:rPr>
          <w:rFonts w:cs="Times New Roman" w:eastAsia="Times New Roman"/>
          <w:lang w:eastAsia="hr-HR"/>
        </w:rPr>
        <w:t>St-807/2018-2</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identifikacijski određeno, tj., za nekretnine i pokretnine: </w:t>
      </w:r>
      <w:proofErr w:type="spellStart"/>
      <w:r w:rsidRPr="00E14C3B">
        <w:rPr>
          <w:rFonts w:cs="Times New Roman" w:eastAsia="Times New Roman"/>
          <w:lang w:eastAsia="hr-HR"/>
        </w:rPr>
        <w:t>zamljišnoknjižna</w:t>
      </w:r>
      <w:proofErr w:type="spellEnd"/>
      <w:r w:rsidRPr="00E14C3B">
        <w:rPr>
          <w:rFonts w:cs="Times New Roman" w:eastAsia="Times New Roman"/>
          <w:lang w:eastAsia="hr-HR"/>
        </w:rPr>
        <w:t xml:space="preserve"> oznaka nekretnine, registracija i drugi podatci o vozilima, vlasnički listovi, prometne dozvole </w:t>
      </w:r>
      <w:proofErr w:type="spellStart"/>
      <w:r w:rsidRPr="00E14C3B">
        <w:rPr>
          <w:rFonts w:cs="Times New Roman" w:eastAsia="Times New Roman"/>
          <w:lang w:eastAsia="hr-HR"/>
        </w:rPr>
        <w:t>itd</w:t>
      </w:r>
      <w:proofErr w:type="spellEnd"/>
      <w:r w:rsidRPr="00E14C3B">
        <w:rPr>
          <w:rFonts w:cs="Times New Roman" w:eastAsia="Times New Roman"/>
          <w:lang w:eastAsia="hr-HR"/>
        </w:rPr>
        <w:t>; za tražbine: od koga se tražbine potražuju i to točni podatci o Dužnikovim dužnicima, naplativost tražbina; za udjele i dionice: u kojim osobama Dužnik ima udjele ili dionice te naplativost tih udjela ili dionica, itd.</w:t>
      </w:r>
      <w:r w:rsidRPr="00E14C3B">
        <w:rPr>
          <w:rFonts w:cs="Times New Roman" w:eastAsia="Times New Roman"/>
          <w:i/>
          <w:lang w:eastAsia="hr-HR"/>
        </w:rPr>
        <w:t>“</w:t>
      </w:r>
      <w:r w:rsidRPr="00E14C3B">
        <w:rPr>
          <w:rFonts w:cs="Times New Roman" w:eastAsia="Times New Roman"/>
          <w:lang w:eastAsia="hr-HR"/>
        </w:rPr>
        <w:t xml:space="preserve">. Istim je Zaključkom Sud pozvao bivšeg direktora Dužnika </w:t>
      </w:r>
      <w:proofErr w:type="spellStart"/>
      <w:r w:rsidRPr="00E14C3B">
        <w:rPr>
          <w:rFonts w:cs="Times New Roman" w:eastAsia="Times New Roman"/>
          <w:lang w:eastAsia="hr-HR"/>
        </w:rPr>
        <w:t>Tonćia</w:t>
      </w:r>
      <w:proofErr w:type="spellEnd"/>
      <w:r w:rsidRPr="00E14C3B">
        <w:rPr>
          <w:rFonts w:cs="Times New Roman" w:eastAsia="Times New Roman"/>
          <w:lang w:eastAsia="hr-HR"/>
        </w:rPr>
        <w:t xml:space="preserve"> Andrijanića „(...) u roku od 20. dana dostaviti ovom Sudu Popis imovine i obveza uvodno navedenog Dužnika i to sadržajno određenog sukladno članku 17, Stečajnog zakona („Narodne novine“, br.: 71/15, dalje: SZ), pod prijetnjom zakonskih posljedica“</w:t>
      </w:r>
      <w:r w:rsidRPr="00E14C3B">
        <w:rPr>
          <w:rFonts w:cs="Times New Roman" w:eastAsia="Times New Roman"/>
          <w:i/>
          <w:lang w:eastAsia="hr-HR"/>
        </w:rPr>
        <w:t>.</w:t>
      </w:r>
      <w:r w:rsidRPr="00E14C3B">
        <w:rPr>
          <w:rFonts w:cs="Times New Roman" w:eastAsia="Times New Roman"/>
          <w:lang w:eastAsia="hr-HR"/>
        </w:rPr>
        <w:t xml:space="preserve"> Međutim, ovom traženju Suda Stečajni upravitelj nije udovoljio, iako je Zaključak uredno primio a bivšem direktoru Dužnika se dva puta </w:t>
      </w:r>
      <w:proofErr w:type="spellStart"/>
      <w:r w:rsidRPr="00E14C3B">
        <w:rPr>
          <w:rFonts w:cs="Times New Roman" w:eastAsia="Times New Roman"/>
          <w:lang w:eastAsia="hr-HR"/>
        </w:rPr>
        <w:t>pokušana</w:t>
      </w:r>
      <w:proofErr w:type="spellEnd"/>
      <w:r w:rsidRPr="00E14C3B">
        <w:rPr>
          <w:rFonts w:cs="Times New Roman" w:eastAsia="Times New Roman"/>
          <w:lang w:eastAsia="hr-HR"/>
        </w:rPr>
        <w:t xml:space="preserve"> dostava vratila neuručena uz naznaku dostavne pošte: „Obaviješten, nije podigao pošiljku“ i „Naslovnik nije zatečen, stan zaključan“.   </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          Odlučujući o prijedlogu Stečajnog upravitelja, Sud je izveo dokaz čitanjem cijelog spisa predmeta pa je </w:t>
      </w:r>
      <w:proofErr w:type="spellStart"/>
      <w:r w:rsidRPr="00E14C3B">
        <w:rPr>
          <w:rFonts w:cs="Times New Roman" w:eastAsia="Times New Roman"/>
          <w:lang w:eastAsia="hr-HR" w:val="en-US"/>
        </w:rPr>
        <w:t>temeljem</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savjesne</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i</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brižljive</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ocjene</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svakog</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dokaza</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zasebno</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i</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svih</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dokaza</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zajedno</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i</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temeljem</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rezultata</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cijelog</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postupka</w:t>
      </w:r>
      <w:proofErr w:type="spellEnd"/>
      <w:r w:rsidRPr="00E14C3B">
        <w:rPr>
          <w:rFonts w:cs="Times New Roman" w:eastAsia="Times New Roman"/>
          <w:lang w:eastAsia="hr-HR" w:val="en-US"/>
        </w:rPr>
        <w:t xml:space="preserve"> (</w:t>
      </w:r>
      <w:proofErr w:type="spellStart"/>
      <w:r w:rsidRPr="00E14C3B">
        <w:rPr>
          <w:rFonts w:cs="Times New Roman" w:eastAsia="Times New Roman"/>
          <w:lang w:eastAsia="hr-HR" w:val="en-US"/>
        </w:rPr>
        <w:t>članak</w:t>
      </w:r>
      <w:proofErr w:type="spellEnd"/>
      <w:r w:rsidRPr="00E14C3B">
        <w:rPr>
          <w:rFonts w:cs="Times New Roman" w:eastAsia="Times New Roman"/>
          <w:lang w:eastAsia="hr-HR" w:val="en-US"/>
        </w:rPr>
        <w:t xml:space="preserve"> 8, </w:t>
      </w:r>
      <w:r w:rsidRPr="00E14C3B">
        <w:rPr>
          <w:rFonts w:cs="Times New Roman" w:eastAsia="Times New Roman"/>
          <w:lang w:eastAsia="hr-HR"/>
        </w:rPr>
        <w:t>Zakona o parničnom postupku („Narodne novine“</w:t>
      </w:r>
      <w:r w:rsidRPr="00E14C3B">
        <w:rPr>
          <w:rFonts w:cs="Times New Roman" w:eastAsia="Times New Roman"/>
          <w:i/>
          <w:lang w:eastAsia="hr-HR"/>
        </w:rPr>
        <w:t>,</w:t>
      </w:r>
      <w:r w:rsidRPr="00E14C3B">
        <w:rPr>
          <w:rFonts w:cs="Times New Roman" w:eastAsia="Times New Roman"/>
          <w:lang w:eastAsia="hr-HR"/>
        </w:rPr>
        <w:t xml:space="preserve"> br.-i: 148/11.-pročišćeni tekst, 25/13. i 89/14.-Odluka USRH, br.: U-I-885/2013., dalje: ZPP), u vezi sa člankom 10, SZ, Sud riješio kao u izrijeci ovog Rješenja zbog razloga koji će se niže navesti.</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          Člankom 289, SZ, propisano je:</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w:t>
      </w:r>
      <w:r w:rsidRPr="00E14C3B">
        <w:rPr>
          <w:rFonts w:cs="Times New Roman" w:eastAsia="Times New Roman"/>
          <w:i/>
          <w:lang w:eastAsia="hr-HR"/>
        </w:rPr>
        <w:t>(</w:t>
      </w:r>
      <w:r w:rsidRPr="00E14C3B">
        <w:rPr>
          <w:rFonts w:cs="Times New Roman" w:eastAsia="Times New Roman"/>
          <w:lang w:eastAsia="hr-HR"/>
        </w:rPr>
        <w:t>1) Sud će na prijedlog stečajnoga upravitelja, kojega od stečajnih vjerovnika ili po službenoj dužnosti odrediti nastavljanje postupka radi naknadne diobe ako se nakon završnoga ročišta:</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1. ostvare pretpostavke da se zadržani iznosi podijele stečajnim vjerovnicima</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2. iznosi koji su isplaćeni iz stečajne mase vrate u masu</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3. pronađe imovina koja ulazi u stečajnu masu.</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(2) Nastavljanje postupka radi naknadne diobe sud će odrediti bez obzira na to je li postupak bio zaključen.</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(3)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(4) Imovina iz stavka 1. ovoga članka jest stečajna masa i na nju se na odgovarajući način primjenjuju odredbe ovoga Zakona o stečajnom dužniku i njegovim tijelima. U ime i za račun te mase mogu se voditi sporovi, ako ovim Zakonom nije drukčije određeno. Stečajna masa je nositelj prava vlasništva i drugih prava.</w:t>
      </w: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(5) U slučaju iz stavka 4. ovoga članka stečajna masa upisat će se u sudski registar. Pri upisu stečajne mase u sudski registar Ministarstvo financija – Porezna uprava po službenoj će dužnosti odrediti i dodijeliti osobni identifikacijski broj stečajnoj masi.</w:t>
      </w:r>
    </w:p>
    <w:p w:rsidRDefault="00E14C3B" w:rsidP="00E14C3B" w:rsidR="00E14C3B" w:rsidRPr="00E14C3B">
      <w:pPr>
        <w:spacing w:after="0"/>
        <w:jc w:val="both"/>
        <w:rPr>
          <w:rFonts w:cs="Times New Roman" w:eastAsia="Times New Roman"/>
          <w:i/>
          <w:lang w:eastAsia="hr-HR"/>
        </w:rPr>
      </w:pPr>
      <w:r w:rsidRPr="00E14C3B">
        <w:rPr>
          <w:rFonts w:cs="Times New Roman" w:eastAsia="Times New Roman"/>
          <w:lang w:eastAsia="hr-HR"/>
        </w:rPr>
        <w:t>(...)“</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szCs w:val="20"/>
          <w:lang w:eastAsia="hr-HR"/>
        </w:rPr>
      </w:pPr>
      <w:r w:rsidRPr="00E14C3B">
        <w:rPr>
          <w:rFonts w:cs="Times New Roman" w:eastAsia="Times New Roman"/>
          <w:lang w:eastAsia="hr-HR"/>
        </w:rPr>
        <w:t xml:space="preserve">                                                                       - 3 -                   </w:t>
      </w:r>
      <w:proofErr w:type="spellStart"/>
      <w:r w:rsidRPr="00E14C3B">
        <w:rPr>
          <w:rFonts w:cs="Times New Roman" w:eastAsia="Times New Roman"/>
          <w:lang w:eastAsia="hr-HR" w:val="en-AU"/>
        </w:rPr>
        <w:t>Poslovni</w:t>
      </w:r>
      <w:proofErr w:type="spellEnd"/>
      <w:r w:rsidRPr="00E14C3B">
        <w:rPr>
          <w:rFonts w:cs="Times New Roman" w:eastAsia="Times New Roman"/>
          <w:lang w:eastAsia="hr-HR" w:val="en-AU"/>
        </w:rPr>
        <w:t xml:space="preserve"> </w:t>
      </w:r>
      <w:proofErr w:type="spellStart"/>
      <w:r w:rsidRPr="00E14C3B">
        <w:rPr>
          <w:rFonts w:cs="Times New Roman" w:eastAsia="Times New Roman"/>
          <w:lang w:eastAsia="hr-HR" w:val="en-AU"/>
        </w:rPr>
        <w:t>broj</w:t>
      </w:r>
      <w:proofErr w:type="spellEnd"/>
      <w:r w:rsidRPr="00E14C3B">
        <w:rPr>
          <w:rFonts w:cs="Times New Roman" w:eastAsia="Times New Roman"/>
          <w:lang w:eastAsia="hr-HR" w:val="en-AU"/>
        </w:rPr>
        <w:t xml:space="preserve">: 14. </w:t>
      </w:r>
      <w:r w:rsidRPr="00E14C3B">
        <w:rPr>
          <w:rFonts w:cs="Times New Roman" w:eastAsia="Times New Roman"/>
          <w:lang w:eastAsia="hr-HR"/>
        </w:rPr>
        <w:t>St-807/2018-2</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Dakle, sukladno ovoj odredbi članka 289, SZ, nastavak postupka radi naknadne diobe Sud određuje kada je sigurno (ili barem velikom vjerojatnošću) utvrđeno postojanje stečajne mase i kada vrijednost stečajne mase opravdava određivanje nastavljanja postupka radi naknadne diobe. U protivnom, to nema svrhe. Postojanje iste stečajne mase treba biti identifikacijski određeno, kako je to Sud i zatražio od Stečajnog upravitelja navedenim Zaključkom od 28. lipnja 2017, broj: 14. St-1314/2015, kojem Zaključku Stečajni upravitelj nije udovoljio. Iz toga što Stečajni upravitelj nije udovoljio traženju Suda iz navedenog Zaključka, Sud smatra utvrđenim kako bivši Dužnik kao pravna osoba nema nikakve imovine koja bi se mogla unovčiti. Da ista imovina postoji u konkretnom obliku, Stečajni bi upravitelj, nakon primitka Zaključka Suda, to ispitao i o tome sigurno izvijestio Sud, pošto mu je to i dužnost propisana člankom 133. SZ i drugim odredbama SZ. Na zaključak kako Dužnik nema imovine koja bi bila podobna za unovčenje, Sud upućuje i navod iz Zahtjeva Financijske agencije (FINA) za provedbu skraćenoga stečajnog postupka (list: 1, spisa), gdje je navedeno kako je 01. rujna 2015. račun Dužnika neprekidno blokiran 1860 dana a to je preko pet godina. Iz financijskih izvještaja Dužnika za 2011. godinu a koje je Stečajnom upravitelju dostavilo Županijsko državno odvjetništvo u Splitu (list: 17-20, spisa), Sud ne utvrđuje postojanje imovine Dužnika koja bi bila unovčiva i koja bi opravdavala određivanje nastavljanja postupka radi naknadne diobe, poštom se iz tih financijskih izvještaja ne može utvrditi koja je to konkretna imovina a zbog čega je Sud navedenim Zaključkom i pozvao Stečajnog upravitelja ispitati i Sudu dostaviti dokaze o postojanju iste imovine u konkretnom obliku.</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 xml:space="preserve">          Kako nije utvrđeno postojanje imovine Dužnika zbog koje bi trebalo odrediti nastavljanje postupka radi naknadne diobe, to je ovaj Sud, </w:t>
      </w:r>
      <w:proofErr w:type="spellStart"/>
      <w:r w:rsidRPr="00E14C3B">
        <w:rPr>
          <w:rFonts w:cs="Times New Roman" w:eastAsia="Times New Roman"/>
          <w:lang w:eastAsia="hr-HR"/>
        </w:rPr>
        <w:t>argumentum</w:t>
      </w:r>
      <w:proofErr w:type="spellEnd"/>
      <w:r w:rsidRPr="00E14C3B">
        <w:rPr>
          <w:rFonts w:cs="Times New Roman" w:eastAsia="Times New Roman"/>
          <w:lang w:eastAsia="hr-HR"/>
        </w:rPr>
        <w:t xml:space="preserve"> a </w:t>
      </w:r>
      <w:proofErr w:type="spellStart"/>
      <w:r w:rsidRPr="00E14C3B">
        <w:rPr>
          <w:rFonts w:cs="Times New Roman" w:eastAsia="Times New Roman"/>
          <w:lang w:eastAsia="hr-HR"/>
        </w:rPr>
        <w:t>contrario</w:t>
      </w:r>
      <w:proofErr w:type="spellEnd"/>
      <w:r w:rsidRPr="00E14C3B">
        <w:rPr>
          <w:rFonts w:cs="Times New Roman" w:eastAsia="Times New Roman"/>
          <w:lang w:eastAsia="hr-HR"/>
        </w:rPr>
        <w:t xml:space="preserve"> članka 289, SZ, odbio prijedlog za određivanje nastavljanja postupka radi naknadne diobe te riješio kao u izrijeci ovog Rješenja.  </w:t>
      </w:r>
    </w:p>
    <w:p w:rsidRDefault="00E14C3B" w:rsidP="00E14C3B" w:rsidR="00E14C3B" w:rsidRPr="00E14C3B">
      <w:pPr>
        <w:spacing w:after="0"/>
        <w:ind w:firstLine="708"/>
        <w:jc w:val="both"/>
        <w:rPr>
          <w:rFonts w:cs="Times New Roman" w:eastAsia="Times New Roman"/>
          <w:lang w:eastAsia="hr-HR"/>
        </w:rPr>
      </w:pPr>
    </w:p>
    <w:p w:rsidRDefault="00E14C3B" w:rsidP="00E14C3B" w:rsidR="00E14C3B" w:rsidRPr="00E14C3B">
      <w:pPr>
        <w:spacing w:after="0"/>
        <w:ind w:firstLine="708"/>
        <w:jc w:val="both"/>
        <w:rPr>
          <w:rFonts w:cs="Times New Roman" w:eastAsia="Times New Roman"/>
          <w:lang w:eastAsia="hr-HR"/>
        </w:rPr>
      </w:pPr>
    </w:p>
    <w:p w:rsidRDefault="00E14C3B" w:rsidP="00E14C3B" w:rsidR="00E14C3B" w:rsidRPr="00E14C3B">
      <w:pPr>
        <w:spacing w:after="0"/>
        <w:ind w:firstLine="708"/>
        <w:jc w:val="center"/>
        <w:rPr>
          <w:rFonts w:cs="Times New Roman" w:eastAsia="Times New Roman"/>
          <w:lang w:eastAsia="hr-HR"/>
        </w:rPr>
      </w:pPr>
      <w:r w:rsidRPr="00E14C3B">
        <w:rPr>
          <w:rFonts w:cs="Times New Roman" w:eastAsia="Times New Roman"/>
          <w:lang w:eastAsia="hr-HR"/>
        </w:rPr>
        <w:t>Split, 23. listopada 2018.</w:t>
      </w:r>
    </w:p>
    <w:p w:rsidRDefault="00E14C3B" w:rsidP="00E14C3B" w:rsidR="00E14C3B" w:rsidRPr="00E14C3B">
      <w:pPr>
        <w:spacing w:after="0"/>
        <w:ind w:firstLine="708"/>
        <w:jc w:val="center"/>
        <w:rPr>
          <w:rFonts w:cs="Times New Roman" w:eastAsia="Times New Roman"/>
          <w:lang w:eastAsia="hr-HR"/>
        </w:rPr>
      </w:pPr>
    </w:p>
    <w:p w:rsidRDefault="00E14C3B" w:rsidP="00E14C3B" w:rsidR="00E14C3B" w:rsidRPr="00E14C3B">
      <w:pPr>
        <w:spacing w:after="0"/>
        <w:ind w:left="4248"/>
        <w:jc w:val="center"/>
        <w:rPr>
          <w:rFonts w:cs="Times New Roman" w:eastAsia="Times New Roman"/>
          <w:lang w:val="en-US"/>
        </w:rPr>
      </w:pPr>
      <w:r w:rsidRPr="00E14C3B">
        <w:rPr>
          <w:rFonts w:cs="Times New Roman" w:eastAsia="Times New Roman"/>
          <w:lang w:val="en-US"/>
        </w:rPr>
        <w:t>SUDAC</w:t>
      </w:r>
    </w:p>
    <w:p w:rsidRDefault="00E14C3B" w:rsidP="00E14C3B" w:rsidR="00E14C3B" w:rsidRPr="00E14C3B">
      <w:pPr>
        <w:spacing w:after="0"/>
        <w:ind w:left="4248"/>
        <w:jc w:val="center"/>
        <w:rPr>
          <w:rFonts w:cs="Times New Roman" w:eastAsia="Times New Roman"/>
          <w:lang w:val="en-US"/>
        </w:rPr>
      </w:pPr>
    </w:p>
    <w:p w:rsidRDefault="00E14C3B" w:rsidP="00E14C3B" w:rsidR="00E14C3B" w:rsidRPr="00E14C3B">
      <w:pPr>
        <w:spacing w:after="0"/>
        <w:ind w:left="4248"/>
        <w:jc w:val="center"/>
        <w:rPr>
          <w:rFonts w:cs="Times New Roman" w:eastAsia="Times New Roman"/>
          <w:lang w:val="en-US"/>
        </w:rPr>
      </w:pPr>
      <w:r w:rsidRPr="00E14C3B">
        <w:rPr>
          <w:rFonts w:cs="Times New Roman" w:eastAsia="Times New Roman"/>
          <w:lang w:val="en-US"/>
        </w:rPr>
        <w:t xml:space="preserve">Jozo Ćaleta, </w:t>
      </w:r>
      <w:proofErr w:type="spellStart"/>
      <w:r w:rsidRPr="00E14C3B">
        <w:rPr>
          <w:rFonts w:cs="Times New Roman" w:eastAsia="Times New Roman"/>
          <w:lang w:val="en-US"/>
        </w:rPr>
        <w:t>v.r</w:t>
      </w:r>
      <w:proofErr w:type="spellEnd"/>
      <w:r w:rsidRPr="00E14C3B">
        <w:rPr>
          <w:rFonts w:cs="Times New Roman" w:eastAsia="Times New Roman"/>
          <w:lang w:val="en-US"/>
        </w:rPr>
        <w:t>.</w:t>
      </w:r>
    </w:p>
    <w:p w:rsidRDefault="00E14C3B" w:rsidP="00E14C3B" w:rsidR="00E14C3B" w:rsidRPr="00E14C3B">
      <w:pPr>
        <w:spacing w:after="0"/>
        <w:ind w:left="4248"/>
        <w:jc w:val="center"/>
        <w:rPr>
          <w:rFonts w:cs="Times New Roman" w:eastAsia="Times New Roman"/>
          <w:lang w:val="en-US"/>
        </w:rPr>
      </w:pPr>
      <w:proofErr w:type="spellStart"/>
      <w:r w:rsidRPr="00E14C3B">
        <w:rPr>
          <w:rFonts w:cs="Times New Roman" w:eastAsia="Times New Roman"/>
          <w:lang w:val="en-US"/>
        </w:rPr>
        <w:t>za</w:t>
      </w:r>
      <w:proofErr w:type="spellEnd"/>
      <w:r w:rsidRPr="00E14C3B">
        <w:rPr>
          <w:rFonts w:cs="Times New Roman" w:eastAsia="Times New Roman"/>
          <w:lang w:val="en-US"/>
        </w:rPr>
        <w:t xml:space="preserve"> </w:t>
      </w:r>
      <w:proofErr w:type="spellStart"/>
      <w:r w:rsidRPr="00E14C3B">
        <w:rPr>
          <w:rFonts w:cs="Times New Roman" w:eastAsia="Times New Roman"/>
          <w:lang w:val="en-US"/>
        </w:rPr>
        <w:t>točnost</w:t>
      </w:r>
      <w:proofErr w:type="spellEnd"/>
      <w:r w:rsidRPr="00E14C3B">
        <w:rPr>
          <w:rFonts w:cs="Times New Roman" w:eastAsia="Times New Roman"/>
          <w:lang w:val="en-US"/>
        </w:rPr>
        <w:t xml:space="preserve"> </w:t>
      </w:r>
      <w:proofErr w:type="spellStart"/>
      <w:r w:rsidRPr="00E14C3B">
        <w:rPr>
          <w:rFonts w:cs="Times New Roman" w:eastAsia="Times New Roman"/>
          <w:lang w:val="en-US"/>
        </w:rPr>
        <w:t>otpravka-ovlašteni</w:t>
      </w:r>
      <w:proofErr w:type="spellEnd"/>
      <w:r w:rsidRPr="00E14C3B">
        <w:rPr>
          <w:rFonts w:cs="Times New Roman" w:eastAsia="Times New Roman"/>
          <w:lang w:val="en-US"/>
        </w:rPr>
        <w:t xml:space="preserve"> </w:t>
      </w:r>
      <w:proofErr w:type="spellStart"/>
      <w:r w:rsidRPr="00E14C3B">
        <w:rPr>
          <w:rFonts w:cs="Times New Roman" w:eastAsia="Times New Roman"/>
          <w:lang w:val="en-US"/>
        </w:rPr>
        <w:t>službenik</w:t>
      </w:r>
      <w:proofErr w:type="spellEnd"/>
    </w:p>
    <w:p w:rsidRDefault="00E14C3B" w:rsidP="00E14C3B" w:rsidR="00E14C3B" w:rsidRPr="00E14C3B">
      <w:pPr>
        <w:spacing w:after="0"/>
        <w:ind w:left="4248"/>
        <w:jc w:val="center"/>
        <w:rPr>
          <w:rFonts w:cs="Times New Roman" w:eastAsia="Times New Roman"/>
          <w:lang w:val="en-US"/>
        </w:rPr>
      </w:pPr>
      <w:r w:rsidRPr="00E14C3B">
        <w:rPr>
          <w:rFonts w:cs="Times New Roman" w:eastAsia="Times New Roman"/>
          <w:lang w:val="en-US"/>
        </w:rPr>
        <w:t xml:space="preserve">Vesna </w:t>
      </w:r>
      <w:proofErr w:type="spellStart"/>
      <w:r w:rsidRPr="00E14C3B">
        <w:rPr>
          <w:rFonts w:cs="Times New Roman" w:eastAsia="Times New Roman"/>
          <w:lang w:val="en-US"/>
        </w:rPr>
        <w:t>Čargo</w:t>
      </w:r>
      <w:proofErr w:type="spellEnd"/>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r w:rsidRPr="00E14C3B">
        <w:rPr>
          <w:rFonts w:cs="Times New Roman" w:eastAsia="Times New Roman"/>
          <w:lang w:eastAsia="hr-HR"/>
        </w:rPr>
        <w:t>Pravna pouka: Protiv ovog Rješenja može se u roku od 8. dana izjaviti žalba Visokom trgovačkom sudu Republike Hrvatske u Zagrebu preko ovog Suda, pismeno u tri primjerka.</w:t>
      </w:r>
    </w:p>
    <w:p w:rsidRDefault="00E14C3B" w:rsidP="00E14C3B" w:rsidR="00E14C3B" w:rsidRPr="00E14C3B">
      <w:pPr>
        <w:spacing w:after="0"/>
        <w:jc w:val="both"/>
        <w:rPr>
          <w:rFonts w:cs="Times New Roman" w:eastAsia="Times New Roman"/>
          <w:lang w:eastAsia="hr-HR"/>
        </w:rPr>
      </w:pPr>
    </w:p>
    <w:p w:rsidRDefault="00E14C3B" w:rsidP="00E14C3B" w:rsidR="00E14C3B" w:rsidRPr="00E14C3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4C3B"/>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2076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St-807/2018-2</izvorni_sadrzaj>
    <derivirana_varijabla naziv="DomainObject.Oznaka_1">St-807/2018-2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St-807/2018</izvorni_sadrzaj>
    <derivirana_varijabla naziv="DomainObject.Predmet.OznakaBroj_1">St-807/2018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DELPHI SPA d.o.o.</izvorni_sadrzaj>
    <derivirana_varijabla naziv="DomainObject.Predmet.ProtustrankaFormated_1">  Stečajna masa iza  DELPHI SPA d.o.o.</derivirana_varijabla>
  </DomainObject.Predmet.ProtustrankaFormated>
  <DomainObject.Predmet.ProtustrankaFormatedOIB>
    <izvorni_sadrzaj>  Stečajna masa iza  DELPHI SPA d.o.o., OIB 10000000000</izvorni_sadrzaj>
    <derivirana_varijabla naziv="DomainObject.Predmet.ProtustrankaFormatedOIB_1">  Stečajna masa iza  DELPHI SPA d.o.o., OIB 10000000000</derivirana_varijabla>
  </DomainObject.Predmet.ProtustrankaFormatedOIB>
  <DomainObject.Predmet.ProtustrankaFormatedWithAdress>
    <izvorni_sadrzaj> Stečajna masa iza  DELPHI SPA d.o.o.</izvorni_sadrzaj>
    <derivirana_varijabla naziv="DomainObject.Predmet.ProtustrankaFormatedWithAdress_1"> Stečajna masa iza  DELPHI SPA d.o.o.</derivirana_varijabla>
  </DomainObject.Predmet.ProtustrankaFormatedWithAdress>
  <DomainObject.Predmet.ProtustrankaFormatedWithAdressOIB>
    <izvorni_sadrzaj> Stečajna masa iza  DELPHI SPA d.o.o., OIB 10000000000</izvorni_sadrzaj>
    <derivirana_varijabla naziv="DomainObject.Predmet.ProtustrankaFormatedWithAdressOIB_1"> Stečajna masa iza  DELPHI SPA d.o.o., OIB 10000000000</derivirana_varijabla>
  </DomainObject.Predmet.ProtustrankaFormatedWithAdressOIB>
  <DomainObject.Predmet.ProtustrankaWithAdress>
    <izvorni_sadrzaj>Stečajna masa iza  DELPHI SPA d.o.o. </izvorni_sadrzaj>
    <derivirana_varijabla naziv="DomainObject.Predmet.ProtustrankaWithAdress_1">Stečajna masa iza  DELPHI SPA d.o.o. </derivirana_varijabla>
  </DomainObject.Predmet.ProtustrankaWithAdress>
  <DomainObject.Predmet.ProtustrankaWithAdressOIB>
    <izvorni_sadrzaj>Stečajna masa iza  DELPHI SPA d.o.o., OIB 10000000000</izvorni_sadrzaj>
    <derivirana_varijabla naziv="DomainObject.Predmet.ProtustrankaWithAdressOIB_1">Stečajna masa iza  DELPHI SPA d.o.o., OIB 10000000000</derivirana_varijabla>
  </DomainObject.Predmet.ProtustrankaWithAdressOIB>
  <DomainObject.Predmet.ProtustrankaNazivFormated>
    <izvorni_sadrzaj>Stečajna masa iza  DELPHI SPA d.o.o.</izvorni_sadrzaj>
    <derivirana_varijabla naziv="DomainObject.Predmet.ProtustrankaNazivFormated_1">Stečajna masa iza  DELPHI SPA d.o.o.</derivirana_varijabla>
  </DomainObject.Predmet.ProtustrankaNazivFormated>
  <DomainObject.Predmet.ProtustrankaNazivFormatedOIB>
    <izvorni_sadrzaj>Stečajna masa iza  DELPHI SPA d.o.o., OIB 10000000000</izvorni_sadrzaj>
    <derivirana_varijabla naziv="DomainObject.Predmet.ProtustrankaNazivFormatedOIB_1">Stečajna masa iza  DELPHI SPA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DELPHI SPA d.o.o.</item>
    </izvorni_sadrzaj>
    <derivirana_varijabla naziv="DomainObject.Predmet.ProtuStrankaListFormated_1">
      <item>Stečajna masa iza  DELPHI SPA d.o.o.</item>
    </derivirana_varijabla>
  </DomainObject.Predmet.ProtuStrankaListFormated>
  <DomainObject.Predmet.ProtuStrankaListFormatedOIB>
    <izvorni_sadrzaj>
      <item>Stečajna masa iza  DELPHI SPA d.o.o., OIB 10000000000</item>
    </izvorni_sadrzaj>
    <derivirana_varijabla naziv="DomainObject.Predmet.ProtuStrankaListFormatedOIB_1">
      <item>Stečajna masa iza  DELPHI SPA d.o.o., OIB 10000000000</item>
    </derivirana_varijabla>
  </DomainObject.Predmet.ProtuStrankaListFormatedOIB>
  <DomainObject.Predmet.ProtuStrankaListFormatedWithAdress>
    <izvorni_sadrzaj>
      <item>Stečajna masa iza  DELPHI SPA d.o.o.</item>
    </izvorni_sadrzaj>
    <derivirana_varijabla naziv="DomainObject.Predmet.ProtuStrankaListFormatedWithAdress_1">
      <item>Stečajna masa iza  DELPHI SPA d.o.o.</item>
    </derivirana_varijabla>
  </DomainObject.Predmet.ProtuStrankaListFormatedWithAdress>
  <DomainObject.Predmet.ProtuStrankaListFormatedWithAdressOIB>
    <izvorni_sadrzaj>
      <item>Stečajna masa iza  DELPHI SPA d.o.o., OIB 10000000000</item>
    </izvorni_sadrzaj>
    <derivirana_varijabla naziv="DomainObject.Predmet.ProtuStrankaListFormatedWithAdressOIB_1">
      <item>Stečajna masa iza  DELPHI SPA d.o.o., OIB 10000000000</item>
    </derivirana_varijabla>
  </DomainObject.Predmet.ProtuStrankaListFormatedWithAdressOIB>
  <DomainObject.Predmet.ProtuStrankaListNazivFormated>
    <izvorni_sadrzaj>
      <item>Stečajna masa iza  DELPHI SPA d.o.o.</item>
    </izvorni_sadrzaj>
    <derivirana_varijabla naziv="DomainObject.Predmet.ProtuStrankaListNazivFormated_1">
      <item>Stečajna masa iza  DELPHI SPA d.o.o.</item>
    </derivirana_varijabla>
  </DomainObject.Predmet.ProtuStrankaListNazivFormated>
  <DomainObject.Predmet.ProtuStrankaListNazivFormatedOIB>
    <izvorni_sadrzaj>
      <item>Stečajna masa iza  DELPHI SPA d.o.o., OIB 10000000000</item>
    </izvorni_sadrzaj>
    <derivirana_varijabla naziv="DomainObject.Predmet.ProtuStrankaListNazivFormatedOIB_1">
      <item>Stečajna masa iza  DELPHI SPA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St-807/2018-2</izvorni_sadrzaj>
    <derivirana_varijabla naziv="DomainObject.PoslovniBrojDokumenta_1">St-807/2018-2</derivirana_varijabla>
  </DomainObject.PoslovniBrojDokumenta>
  <DomainObject.Predmet.StrankaIDrugi>
    <izvorni_sadrzaj/>
    <derivirana_varijabla naziv="DomainObject.Predmet.StrankaIDrugi_1"/>
  </DomainObject.Predmet.StrankaIDrugi>
  <DomainObject.Predmet.ProtustrankaIDrugi>
    <izvorni_sadrzaj>Stečajna masa iza  DELPHI SPA d.o.o.</izvorni_sadrzaj>
    <derivirana_varijabla naziv="DomainObject.Predmet.ProtustrankaIDrugi_1">Stečajna masa iza  DELPHI SPA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DELPHI SPA d.o.o., OIB 10000000000</izvorni_sadrzaj>
    <derivirana_varijabla naziv="DomainObject.Predmet.ProtustrankaIDrugiAdressOIB_1">Stečajna masa iza  DELPHI SPA d.o.o.,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DELPHI SPA d.o.o.</item>
    </izvorni_sadrzaj>
    <derivirana_varijabla naziv="DomainObject.Predmet.SudioniciListNaziv_1">
      <item>Stečajna masa iza  DELPHI SPA d.o.o.</item>
    </derivirana_varijabla>
  </DomainObject.Predmet.SudioniciListNaziv>
  <DomainObject.Predmet.SudioniciListAdressOIB>
    <izvorni_sadrzaj>
      <item>Stečajna masa iza  DELPHI SPA d.o.o., OIB 10000000000</item>
    </izvorni_sadrzaj>
    <derivirana_varijabla naziv="DomainObject.Predmet.SudioniciListAdressOIB_1">
      <item>Stečajna masa iza  DELPHI SPA d.o.o.,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0D316-E6AD-421C-8B29-9E31D774D3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1150</properties:Words>
  <properties:Characters>6550</properties:Characters>
  <properties:Lines>140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2018-10-23T12:36:00Z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St-807/2018-2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