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43d9" w14:paraId="9b343d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E6C2C">
        <w:t>845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BE6C2C">
        <w:t>BIO GRAĐA d.o.o., Zadar, Hrvatskih književnika 19/A, OIB: 69320644999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C104C3">
        <w:t xml:space="preserve">08, </w:t>
      </w:r>
      <w:r w:rsidR="00BE6C2C">
        <w:t>40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BE6C2C">
        <w:t>BIO GRAĐA d.o.o., Zadar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6C2C">
        <w:t>16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0F7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F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F7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F7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F7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F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F7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F7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F7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</izvorni_sadrzaj>
    <derivirana_varijabla naziv="DomainObject.Predmet.SudioniciListNaziv_1">
      <item>Financijska agencija</item>
      <item>BIO GRAĐA d.o.o. za proizvodnju i poslovne usluge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</izvorni_sadrzaj>
    <derivirana_varijabla naziv="DomainObject.Predmet.SudioniciListNazivOIB_1">
      <item>, OIB 85821130368</item>
      <item>, OIB 69320644999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677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2016-06-15T12:27:00Z</dcterms:created>
  <dc:creator>Administrator</dc:creator>
  <cp:lastModifiedBy>wsadmin</cp:lastModifiedBy>
  <cp:lastPrinted>2016-05-31T12:57:00Z</cp:lastPrinted>
  <dcterms:modified xmlns:xsi="http://www.w3.org/2001/XMLSchema-instance" xsi:type="dcterms:W3CDTF">2016-06-17T06:24:00Z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