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6f46" w14:paraId="9e56f4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51F33" w:rsidP="00151F33" w:rsidR="00151F33" w:rsidRPr="00151F33">
      <w:pPr>
        <w:pStyle w:val="Bezproreda"/>
        <w:rPr>
          <w:b/>
        </w:rPr>
      </w:pPr>
      <w:r w:rsidRPr="00151F33">
        <w:rPr>
          <w:b/>
        </w:rPr>
        <w:t xml:space="preserve">   REPUBLIKA HRVATSKA</w:t>
      </w:r>
    </w:p>
    <w:p w:rsidRDefault="00151F33" w:rsidP="00151F33" w:rsidR="00151F33">
      <w:pPr>
        <w:pStyle w:val="Bezproreda"/>
        <w:rPr>
          <w:b/>
          <w:szCs w:val="20"/>
        </w:rPr>
      </w:pPr>
      <w:r>
        <w:rPr>
          <w:b/>
        </w:rPr>
        <w:t xml:space="preserve">TRGOVAČKI SUD U SPLITU </w:t>
      </w:r>
      <w:r>
        <w:t xml:space="preserve">            </w:t>
      </w:r>
      <w:r>
        <w:tab/>
      </w:r>
      <w:r>
        <w:tab/>
        <w:t xml:space="preserve">                 </w:t>
      </w:r>
      <w:r>
        <w:rPr>
          <w:b/>
        </w:rPr>
        <w:t>Broj: 14. St-533/2011.</w:t>
      </w:r>
    </w:p>
    <w:p w:rsidRDefault="00151F33" w:rsidP="00151F33" w:rsidR="00151F33">
      <w:pPr>
        <w:pStyle w:val="Bezproreda"/>
        <w:rPr>
          <w:b/>
        </w:rPr>
      </w:pPr>
      <w:proofErr w:type="spellStart"/>
      <w:r>
        <w:rPr>
          <w:b/>
        </w:rPr>
        <w:t>Sukoišanska</w:t>
      </w:r>
      <w:proofErr w:type="spellEnd"/>
      <w:r>
        <w:rPr>
          <w:b/>
        </w:rPr>
        <w:t xml:space="preserve"> 6.  - 21 000 S P L I T</w:t>
      </w:r>
    </w:p>
    <w:p w:rsidRDefault="00151F33" w:rsidP="00151F33" w:rsidR="00151F33">
      <w:pPr>
        <w:jc w:val="both"/>
      </w:pPr>
    </w:p>
    <w:p w:rsidRDefault="00151F33" w:rsidP="00151F33" w:rsidR="00151F33" w:rsidRPr="00151F33">
      <w:pPr>
        <w:pStyle w:val="Bezproreda"/>
        <w:jc w:val="center"/>
        <w:rPr>
          <w:b/>
        </w:rPr>
      </w:pPr>
      <w:r w:rsidRPr="00151F33">
        <w:rPr>
          <w:b/>
        </w:rPr>
        <w:t>R E P U B L I K A    H R V A T S K A</w:t>
      </w:r>
    </w:p>
    <w:p w:rsidRDefault="00151F33" w:rsidP="00151F33" w:rsidR="00151F33" w:rsidRPr="00151F33">
      <w:pPr>
        <w:pStyle w:val="Bezproreda"/>
        <w:jc w:val="center"/>
        <w:rPr>
          <w:b/>
        </w:rPr>
      </w:pPr>
    </w:p>
    <w:p w:rsidRDefault="00151F33" w:rsidP="00151F33" w:rsidR="00151F33" w:rsidRPr="00151F33">
      <w:pPr>
        <w:pStyle w:val="Bezproreda"/>
        <w:jc w:val="center"/>
        <w:rPr>
          <w:rFonts w:eastAsia="Arial Unicode MS"/>
          <w:b/>
          <w:bCs/>
          <w:szCs w:val="20"/>
        </w:rPr>
      </w:pPr>
      <w:r w:rsidRPr="00151F33">
        <w:rPr>
          <w:rFonts w:eastAsia="Arial Unicode MS"/>
          <w:b/>
          <w:bCs/>
          <w:szCs w:val="20"/>
        </w:rPr>
        <w:t>R J E Š E N J E</w:t>
      </w:r>
    </w:p>
    <w:p w:rsidRDefault="00151F33" w:rsidP="00151F33" w:rsidR="00151F33">
      <w:pPr>
        <w:jc w:val="both"/>
        <w:rPr>
          <w:b/>
          <w:bCs/>
        </w:rPr>
      </w:pPr>
    </w:p>
    <w:p w:rsidRDefault="00151F33" w:rsidP="00151F33" w:rsidR="00151F33">
      <w:pPr>
        <w:pStyle w:val="Tijeloteksta"/>
      </w:pPr>
      <w:r>
        <w:t xml:space="preserve">          TRGOVAČKI SUD U SPLITU, po stečajnom sudcu Jozi Ćaleti, u stečajnom postupku nad stečajnim Dužnikom: </w:t>
      </w:r>
      <w:r>
        <w:rPr>
          <w:lang w:val="fr-FR"/>
        </w:rPr>
        <w:t xml:space="preserve">PODOVI, d.o.o., u stečaju, Split, Trondheimska 4/D, </w:t>
      </w:r>
      <w:r>
        <w:t>OIB: 69976343666, (Dužnik, stečajni Dužnik)</w:t>
      </w:r>
      <w:r>
        <w:rPr>
          <w:lang w:val="fr-FR"/>
        </w:rPr>
        <w:t xml:space="preserve"> zastupanog po stečajnom upravitelju Marki Bitangi, iz Podstrane, Radićeva 47, </w:t>
      </w:r>
      <w:r>
        <w:t xml:space="preserve">odlučujući o nagradi i naknadi troškova Stečajnog upravitelja, 05. srpnja 2017, </w:t>
      </w:r>
      <w:proofErr w:type="spellStart"/>
      <w:r>
        <w:t>izvanraspravno</w:t>
      </w:r>
      <w:proofErr w:type="spellEnd"/>
      <w:r>
        <w:t>,</w:t>
      </w:r>
    </w:p>
    <w:p w:rsidRDefault="00151F33" w:rsidP="00151F33" w:rsidR="00151F33">
      <w:pPr>
        <w:ind w:left="360"/>
        <w:jc w:val="center"/>
        <w:rPr>
          <w:szCs w:val="20"/>
        </w:rPr>
      </w:pPr>
      <w:r>
        <w:t xml:space="preserve">r i j e š i o    j e                                             </w:t>
      </w:r>
    </w:p>
    <w:p w:rsidRDefault="00151F33" w:rsidP="00151F33" w:rsidR="00151F33">
      <w:pPr>
        <w:jc w:val="both"/>
        <w:rPr>
          <w:b/>
          <w:bCs/>
        </w:rPr>
      </w:pPr>
    </w:p>
    <w:p w:rsidRDefault="00151F33" w:rsidP="00151F33" w:rsidR="00151F33">
      <w:pPr>
        <w:jc w:val="both"/>
      </w:pPr>
      <w:r>
        <w:rPr>
          <w:b/>
          <w:bCs/>
        </w:rPr>
        <w:t xml:space="preserve">          1.</w:t>
      </w:r>
      <w:r>
        <w:t xml:space="preserve"> </w:t>
      </w:r>
      <w:r>
        <w:rPr>
          <w:lang w:val="fr-FR"/>
        </w:rPr>
        <w:t>Marki Bitangi, iz Podstrane, Radićeva 47,</w:t>
      </w:r>
      <w:r>
        <w:t xml:space="preserve"> stečajnom upravitelju stečajnog Dužnika: </w:t>
      </w:r>
      <w:r>
        <w:rPr>
          <w:lang w:val="fr-FR"/>
        </w:rPr>
        <w:t xml:space="preserve">PODOVI, d.o.o., u stečaju, Split, Trondheimska 4/D, </w:t>
      </w:r>
      <w:r>
        <w:t xml:space="preserve">OIB: 69976343666, određuje se nagrada za obavljanje službe stečajnog upravitelja u ovome stečajnom postupku u iznosu od: 322.104,40 kuna bruto a ujedno mu se određuje i naknada troškova u iznosu od: 17.098,63 kuna bruto pa ukupni iznos nagrade i naknade troškova iznosi: 339.103,00 kuna bruto i koji se iznos </w:t>
      </w:r>
      <w:proofErr w:type="spellStart"/>
      <w:r>
        <w:t>uvećaje</w:t>
      </w:r>
      <w:proofErr w:type="spellEnd"/>
      <w:r>
        <w:t xml:space="preserve"> za doprinose za zdravstveno osiguranje u iznosu od 7%, </w:t>
      </w:r>
      <w:proofErr w:type="spellStart"/>
      <w:r>
        <w:t>tj</w:t>
      </w:r>
      <w:proofErr w:type="spellEnd"/>
      <w:r>
        <w:t>, za iznos od: 23.737,21 kunu pa sveukupni iznos nagrade i naknade troškova Stečajnog upravitelja iznosi: 362.840,21 kunu bruto. Određeni iznos naknade troškova od 17.098,63 kuna bruto umanjuje se za: 3.450,00 neto a koji je iznos bio određen Rješenjem ovog Suda od 12. prosinca 2013.</w:t>
      </w:r>
    </w:p>
    <w:p w:rsidRDefault="00151F33" w:rsidP="00151F33" w:rsidR="00151F33">
      <w:pPr>
        <w:jc w:val="both"/>
      </w:pPr>
      <w:r>
        <w:t xml:space="preserve">          </w:t>
      </w:r>
      <w:r>
        <w:rPr>
          <w:b/>
        </w:rPr>
        <w:t>2.</w:t>
      </w:r>
      <w:r>
        <w:t xml:space="preserve">  Upućuje se Stečajni upravitelj isplatiti si iznos nagrade i neisplaćeni iznos naknade troškova iz točke 1. ovog Rješenja te prilikom isplate na neto iznose obračunati pripadajuće poreze, prireze i doprinose i iste uplatiti na odgovarajuće račune proračunskih korisnika sve to nakon pravomoćnosti ovog Rješenja.</w:t>
      </w:r>
    </w:p>
    <w:p w:rsidRDefault="00151F33" w:rsidP="00151F33" w:rsidR="00151F33" w:rsidRPr="00151F33">
      <w:pPr>
        <w:pStyle w:val="Naslov1"/>
        <w:jc w:val="center"/>
        <w:rPr>
          <w:bCs w:val="false"/>
          <w:sz w:val="24"/>
          <w:szCs w:val="24"/>
        </w:rPr>
      </w:pPr>
      <w:r w:rsidRPr="00151F33">
        <w:rPr>
          <w:bCs w:val="false"/>
          <w:sz w:val="24"/>
          <w:szCs w:val="24"/>
        </w:rPr>
        <w:t>Obrazloženje</w:t>
      </w:r>
    </w:p>
    <w:p w:rsidRDefault="00151F33" w:rsidP="00151F33" w:rsidR="00151F33">
      <w:pPr>
        <w:jc w:val="both"/>
      </w:pPr>
    </w:p>
    <w:p w:rsidRDefault="00151F33" w:rsidP="00151F33" w:rsidR="00151F33">
      <w:pPr>
        <w:jc w:val="both"/>
      </w:pPr>
      <w:r>
        <w:t xml:space="preserve">          </w:t>
      </w:r>
      <w:r>
        <w:rPr>
          <w:b/>
        </w:rPr>
        <w:t>1.</w:t>
      </w:r>
      <w:r>
        <w:t xml:space="preserve">  Rješenjem ovog Suda od 14. studenog 2012, broj: 14. St-533/11, otvoren je stečajni postupak nad uvodno navedenim trgovačkim društvom kao stečajnim Dužnikom. </w:t>
      </w:r>
    </w:p>
    <w:p w:rsidRDefault="00151F33" w:rsidP="00151F33" w:rsidR="00151F33">
      <w:pPr>
        <w:jc w:val="both"/>
      </w:pPr>
    </w:p>
    <w:p w:rsidRDefault="00151F33" w:rsidP="00151F33" w:rsidR="00151F33">
      <w:pPr>
        <w:jc w:val="both"/>
        <w:rPr>
          <w:szCs w:val="20"/>
          <w:lang w:val="en-AU"/>
        </w:rPr>
      </w:pPr>
      <w:r>
        <w:rPr>
          <w:szCs w:val="20"/>
          <w:lang w:val="en-AU"/>
        </w:rPr>
        <w:lastRenderedPageBreak/>
        <w:t xml:space="preserve">                                                                          </w:t>
      </w:r>
      <w:r>
        <w:rPr>
          <w:b/>
          <w:szCs w:val="20"/>
          <w:lang w:val="en-AU"/>
        </w:rPr>
        <w:t>- 2 -</w:t>
      </w:r>
      <w:r>
        <w:rPr>
          <w:szCs w:val="20"/>
          <w:lang w:val="en-AU"/>
        </w:rPr>
        <w:t xml:space="preserve">                        </w:t>
      </w:r>
      <w:r>
        <w:rPr>
          <w:b/>
          <w:szCs w:val="20"/>
        </w:rPr>
        <w:t>Broj</w:t>
      </w:r>
      <w:r>
        <w:rPr>
          <w:b/>
          <w:szCs w:val="20"/>
          <w:lang w:val="en-AU"/>
        </w:rPr>
        <w:t>:</w:t>
      </w:r>
      <w:r>
        <w:rPr>
          <w:szCs w:val="20"/>
          <w:lang w:val="en-AU"/>
        </w:rPr>
        <w:t xml:space="preserve"> </w:t>
      </w:r>
      <w:r>
        <w:rPr>
          <w:b/>
          <w:szCs w:val="20"/>
          <w:lang w:val="en-AU"/>
        </w:rPr>
        <w:t xml:space="preserve">14.  </w:t>
      </w:r>
      <w:r>
        <w:rPr>
          <w:b/>
          <w:szCs w:val="20"/>
        </w:rPr>
        <w:t>St</w:t>
      </w:r>
      <w:r>
        <w:rPr>
          <w:b/>
          <w:szCs w:val="20"/>
          <w:lang w:val="en-AU"/>
        </w:rPr>
        <w:t>-533/2011.</w:t>
      </w:r>
    </w:p>
    <w:p w:rsidRDefault="00151F33" w:rsidP="00151F33" w:rsidR="00151F33">
      <w:pPr>
        <w:jc w:val="both"/>
        <w:rPr>
          <w:lang w:val="en-US"/>
        </w:rPr>
      </w:pPr>
    </w:p>
    <w:p w:rsidRDefault="00151F33" w:rsidP="00151F33" w:rsidR="00151F33">
      <w:pPr>
        <w:jc w:val="both"/>
        <w:rPr>
          <w:szCs w:val="20"/>
          <w:lang w:val="en-AU"/>
        </w:rPr>
      </w:pPr>
      <w:r>
        <w:rPr>
          <w:szCs w:val="20"/>
          <w:lang w:val="en-AU"/>
        </w:rPr>
        <w:t xml:space="preserve">          </w:t>
      </w:r>
      <w:r>
        <w:rPr>
          <w:b/>
          <w:szCs w:val="20"/>
          <w:lang w:val="en-AU"/>
        </w:rPr>
        <w:t>2.</w:t>
      </w:r>
      <w:r>
        <w:rPr>
          <w:szCs w:val="20"/>
          <w:lang w:val="en-AU"/>
        </w:rPr>
        <w:t xml:space="preserve">  </w:t>
      </w:r>
      <w:proofErr w:type="spellStart"/>
      <w:r>
        <w:rPr>
          <w:szCs w:val="20"/>
          <w:lang w:val="en-AU"/>
        </w:rPr>
        <w:t>Nakon</w:t>
      </w:r>
      <w:proofErr w:type="spellEnd"/>
      <w:r>
        <w:rPr>
          <w:szCs w:val="20"/>
          <w:lang w:val="en-AU"/>
        </w:rPr>
        <w:t xml:space="preserve"> </w:t>
      </w:r>
      <w:proofErr w:type="spellStart"/>
      <w:r>
        <w:rPr>
          <w:szCs w:val="20"/>
          <w:lang w:val="en-AU"/>
        </w:rPr>
        <w:t>što</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vjerovnici</w:t>
      </w:r>
      <w:proofErr w:type="spellEnd"/>
      <w:r>
        <w:rPr>
          <w:szCs w:val="20"/>
          <w:lang w:val="en-AU"/>
        </w:rPr>
        <w:t xml:space="preserve"> </w:t>
      </w:r>
      <w:proofErr w:type="spellStart"/>
      <w:r>
        <w:rPr>
          <w:szCs w:val="20"/>
          <w:lang w:val="en-AU"/>
        </w:rPr>
        <w:t>prijavili</w:t>
      </w:r>
      <w:proofErr w:type="spellEnd"/>
      <w:r>
        <w:rPr>
          <w:szCs w:val="20"/>
          <w:lang w:val="en-AU"/>
        </w:rPr>
        <w:t xml:space="preserve"> </w:t>
      </w:r>
      <w:proofErr w:type="spellStart"/>
      <w:r>
        <w:rPr>
          <w:szCs w:val="20"/>
          <w:lang w:val="en-AU"/>
        </w:rPr>
        <w:t>tražbine</w:t>
      </w:r>
      <w:proofErr w:type="spellEnd"/>
      <w:r>
        <w:rPr>
          <w:szCs w:val="20"/>
          <w:lang w:val="en-AU"/>
        </w:rPr>
        <w:t xml:space="preserve"> u </w:t>
      </w:r>
      <w:proofErr w:type="spellStart"/>
      <w:r>
        <w:rPr>
          <w:szCs w:val="20"/>
          <w:lang w:val="en-AU"/>
        </w:rPr>
        <w:t>stečajni</w:t>
      </w:r>
      <w:proofErr w:type="spellEnd"/>
      <w:r>
        <w:rPr>
          <w:szCs w:val="20"/>
          <w:lang w:val="en-AU"/>
        </w:rPr>
        <w:t xml:space="preserve"> </w:t>
      </w:r>
      <w:proofErr w:type="spellStart"/>
      <w:r>
        <w:rPr>
          <w:szCs w:val="20"/>
          <w:lang w:val="en-AU"/>
        </w:rPr>
        <w:t>postupak</w:t>
      </w:r>
      <w:proofErr w:type="spellEnd"/>
      <w:r>
        <w:rPr>
          <w:szCs w:val="20"/>
          <w:lang w:val="en-AU"/>
        </w:rPr>
        <w:t xml:space="preserve">, </w:t>
      </w:r>
      <w:proofErr w:type="spellStart"/>
      <w:r>
        <w:rPr>
          <w:szCs w:val="20"/>
          <w:lang w:val="en-AU"/>
        </w:rPr>
        <w:t>iste</w:t>
      </w:r>
      <w:proofErr w:type="spellEnd"/>
      <w:r>
        <w:rPr>
          <w:szCs w:val="20"/>
          <w:lang w:val="en-AU"/>
        </w:rPr>
        <w:t xml:space="preserve"> </w:t>
      </w:r>
      <w:proofErr w:type="spellStart"/>
      <w:r>
        <w:rPr>
          <w:szCs w:val="20"/>
          <w:lang w:val="en-AU"/>
        </w:rPr>
        <w:t>su</w:t>
      </w:r>
      <w:proofErr w:type="spellEnd"/>
      <w:r>
        <w:rPr>
          <w:szCs w:val="20"/>
          <w:lang w:val="en-AU"/>
        </w:rPr>
        <w:t xml:space="preserve"> </w:t>
      </w:r>
      <w:proofErr w:type="spellStart"/>
      <w:r>
        <w:rPr>
          <w:szCs w:val="20"/>
          <w:lang w:val="en-AU"/>
        </w:rPr>
        <w:t>tražbine</w:t>
      </w:r>
      <w:proofErr w:type="spellEnd"/>
      <w:r>
        <w:rPr>
          <w:szCs w:val="20"/>
          <w:lang w:val="en-AU"/>
        </w:rPr>
        <w:t xml:space="preserve"> </w:t>
      </w:r>
      <w:proofErr w:type="spellStart"/>
      <w:r>
        <w:rPr>
          <w:szCs w:val="20"/>
          <w:lang w:val="en-AU"/>
        </w:rPr>
        <w:t>ispitane</w:t>
      </w:r>
      <w:proofErr w:type="spellEnd"/>
      <w:r>
        <w:rPr>
          <w:szCs w:val="20"/>
          <w:lang w:val="en-AU"/>
        </w:rPr>
        <w:t xml:space="preserve"> </w:t>
      </w:r>
      <w:proofErr w:type="spellStart"/>
      <w:proofErr w:type="gramStart"/>
      <w:r>
        <w:rPr>
          <w:szCs w:val="20"/>
          <w:lang w:val="en-AU"/>
        </w:rPr>
        <w:t>na</w:t>
      </w:r>
      <w:proofErr w:type="spellEnd"/>
      <w:proofErr w:type="gramEnd"/>
      <w:r>
        <w:rPr>
          <w:szCs w:val="20"/>
          <w:lang w:val="en-AU"/>
        </w:rPr>
        <w:t xml:space="preserve"> </w:t>
      </w:r>
      <w:proofErr w:type="spellStart"/>
      <w:r>
        <w:rPr>
          <w:szCs w:val="20"/>
          <w:lang w:val="en-AU"/>
        </w:rPr>
        <w:t>Ispitnim</w:t>
      </w:r>
      <w:proofErr w:type="spellEnd"/>
      <w:r>
        <w:rPr>
          <w:szCs w:val="20"/>
          <w:lang w:val="en-AU"/>
        </w:rPr>
        <w:t xml:space="preserve"> </w:t>
      </w:r>
      <w:proofErr w:type="spellStart"/>
      <w:r>
        <w:rPr>
          <w:szCs w:val="20"/>
          <w:lang w:val="en-AU"/>
        </w:rPr>
        <w:t>ročištima</w:t>
      </w:r>
      <w:proofErr w:type="spellEnd"/>
      <w:r>
        <w:rPr>
          <w:szCs w:val="20"/>
          <w:lang w:val="en-AU"/>
        </w:rPr>
        <w:t xml:space="preserve"> </w:t>
      </w:r>
      <w:proofErr w:type="spellStart"/>
      <w:r>
        <w:rPr>
          <w:szCs w:val="20"/>
          <w:lang w:val="en-AU"/>
        </w:rPr>
        <w:t>održanim</w:t>
      </w:r>
      <w:proofErr w:type="spellEnd"/>
      <w:r>
        <w:rPr>
          <w:szCs w:val="20"/>
          <w:lang w:val="en-AU"/>
        </w:rPr>
        <w:t xml:space="preserve"> </w:t>
      </w:r>
      <w:proofErr w:type="spellStart"/>
      <w:r>
        <w:rPr>
          <w:szCs w:val="20"/>
          <w:lang w:val="en-AU"/>
        </w:rPr>
        <w:t>pred</w:t>
      </w:r>
      <w:proofErr w:type="spellEnd"/>
      <w:r>
        <w:rPr>
          <w:szCs w:val="20"/>
          <w:lang w:val="en-AU"/>
        </w:rPr>
        <w:t xml:space="preserve"> </w:t>
      </w:r>
      <w:proofErr w:type="spellStart"/>
      <w:r>
        <w:rPr>
          <w:szCs w:val="20"/>
          <w:lang w:val="en-AU"/>
        </w:rPr>
        <w:t>ovim</w:t>
      </w:r>
      <w:proofErr w:type="spellEnd"/>
      <w:r>
        <w:rPr>
          <w:szCs w:val="20"/>
          <w:lang w:val="en-AU"/>
        </w:rPr>
        <w:t xml:space="preserve"> </w:t>
      </w:r>
      <w:proofErr w:type="spellStart"/>
      <w:r>
        <w:rPr>
          <w:szCs w:val="20"/>
          <w:lang w:val="en-AU"/>
        </w:rPr>
        <w:t>Sudom</w:t>
      </w:r>
      <w:proofErr w:type="spellEnd"/>
      <w:r>
        <w:rPr>
          <w:szCs w:val="20"/>
          <w:lang w:val="en-AU"/>
        </w:rPr>
        <w:t xml:space="preserve"> dana 10. </w:t>
      </w:r>
      <w:proofErr w:type="spellStart"/>
      <w:proofErr w:type="gramStart"/>
      <w:r>
        <w:rPr>
          <w:szCs w:val="20"/>
          <w:lang w:val="en-AU"/>
        </w:rPr>
        <w:t>siječnja</w:t>
      </w:r>
      <w:proofErr w:type="spellEnd"/>
      <w:proofErr w:type="gramEnd"/>
      <w:r>
        <w:rPr>
          <w:szCs w:val="20"/>
          <w:lang w:val="en-AU"/>
        </w:rPr>
        <w:t xml:space="preserve"> </w:t>
      </w:r>
      <w:proofErr w:type="spellStart"/>
      <w:r>
        <w:rPr>
          <w:szCs w:val="20"/>
          <w:lang w:val="en-AU"/>
        </w:rPr>
        <w:t>i</w:t>
      </w:r>
      <w:proofErr w:type="spellEnd"/>
      <w:r>
        <w:rPr>
          <w:szCs w:val="20"/>
          <w:lang w:val="en-AU"/>
        </w:rPr>
        <w:t xml:space="preserve"> 06. </w:t>
      </w:r>
      <w:proofErr w:type="spellStart"/>
      <w:proofErr w:type="gramStart"/>
      <w:r>
        <w:rPr>
          <w:szCs w:val="20"/>
          <w:lang w:val="en-AU"/>
        </w:rPr>
        <w:t>lipnja</w:t>
      </w:r>
      <w:proofErr w:type="spellEnd"/>
      <w:proofErr w:type="gramEnd"/>
      <w:r>
        <w:rPr>
          <w:szCs w:val="20"/>
          <w:lang w:val="en-AU"/>
        </w:rPr>
        <w:t xml:space="preserve"> 2013, </w:t>
      </w:r>
      <w:proofErr w:type="spellStart"/>
      <w:r>
        <w:rPr>
          <w:szCs w:val="20"/>
          <w:lang w:val="en-AU"/>
        </w:rPr>
        <w:t>nakon</w:t>
      </w:r>
      <w:proofErr w:type="spellEnd"/>
      <w:r>
        <w:rPr>
          <w:szCs w:val="20"/>
          <w:lang w:val="en-AU"/>
        </w:rPr>
        <w:t xml:space="preserve"> </w:t>
      </w:r>
      <w:proofErr w:type="spellStart"/>
      <w:r>
        <w:rPr>
          <w:szCs w:val="20"/>
          <w:lang w:val="en-AU"/>
        </w:rPr>
        <w:t>čega</w:t>
      </w:r>
      <w:proofErr w:type="spellEnd"/>
      <w:r>
        <w:rPr>
          <w:szCs w:val="20"/>
          <w:lang w:val="en-AU"/>
        </w:rPr>
        <w:t xml:space="preserve"> je o </w:t>
      </w:r>
      <w:proofErr w:type="spellStart"/>
      <w:r>
        <w:rPr>
          <w:szCs w:val="20"/>
          <w:lang w:val="en-AU"/>
        </w:rPr>
        <w:t>tako</w:t>
      </w:r>
      <w:proofErr w:type="spellEnd"/>
      <w:r>
        <w:rPr>
          <w:szCs w:val="20"/>
          <w:lang w:val="en-AU"/>
        </w:rPr>
        <w:t xml:space="preserve"> </w:t>
      </w:r>
      <w:proofErr w:type="spellStart"/>
      <w:r>
        <w:rPr>
          <w:szCs w:val="20"/>
          <w:lang w:val="en-AU"/>
        </w:rPr>
        <w:t>ispitanim</w:t>
      </w:r>
      <w:proofErr w:type="spellEnd"/>
      <w:r>
        <w:rPr>
          <w:szCs w:val="20"/>
          <w:lang w:val="en-AU"/>
        </w:rPr>
        <w:t xml:space="preserve"> </w:t>
      </w:r>
      <w:proofErr w:type="spellStart"/>
      <w:r>
        <w:rPr>
          <w:szCs w:val="20"/>
          <w:lang w:val="en-AU"/>
        </w:rPr>
        <w:t>tražbinama</w:t>
      </w:r>
      <w:proofErr w:type="spellEnd"/>
      <w:r>
        <w:rPr>
          <w:szCs w:val="20"/>
          <w:lang w:val="en-AU"/>
        </w:rPr>
        <w:t xml:space="preserve"> </w:t>
      </w:r>
      <w:proofErr w:type="spellStart"/>
      <w:r>
        <w:rPr>
          <w:szCs w:val="20"/>
          <w:lang w:val="en-AU"/>
        </w:rPr>
        <w:t>Sud</w:t>
      </w:r>
      <w:proofErr w:type="spellEnd"/>
      <w:r>
        <w:rPr>
          <w:szCs w:val="20"/>
          <w:lang w:val="en-AU"/>
        </w:rPr>
        <w:t xml:space="preserve"> </w:t>
      </w:r>
      <w:proofErr w:type="spellStart"/>
      <w:r>
        <w:rPr>
          <w:szCs w:val="20"/>
          <w:lang w:val="en-AU"/>
        </w:rPr>
        <w:t>odlučio</w:t>
      </w:r>
      <w:proofErr w:type="spellEnd"/>
      <w:r>
        <w:rPr>
          <w:szCs w:val="20"/>
          <w:lang w:val="en-AU"/>
        </w:rPr>
        <w:t xml:space="preserve"> </w:t>
      </w:r>
      <w:proofErr w:type="spellStart"/>
      <w:r>
        <w:rPr>
          <w:szCs w:val="20"/>
          <w:lang w:val="en-AU"/>
        </w:rPr>
        <w:t>Rješenjima</w:t>
      </w:r>
      <w:proofErr w:type="spellEnd"/>
      <w:r>
        <w:rPr>
          <w:szCs w:val="20"/>
          <w:lang w:val="en-AU"/>
        </w:rPr>
        <w:t xml:space="preserve"> o </w:t>
      </w:r>
      <w:proofErr w:type="spellStart"/>
      <w:r>
        <w:rPr>
          <w:szCs w:val="20"/>
          <w:lang w:val="en-AU"/>
        </w:rPr>
        <w:t>utvrđenim</w:t>
      </w:r>
      <w:proofErr w:type="spellEnd"/>
      <w:r>
        <w:rPr>
          <w:szCs w:val="20"/>
          <w:lang w:val="en-AU"/>
        </w:rPr>
        <w:t xml:space="preserve">, </w:t>
      </w:r>
      <w:proofErr w:type="spellStart"/>
      <w:r>
        <w:rPr>
          <w:szCs w:val="20"/>
          <w:lang w:val="en-AU"/>
        </w:rPr>
        <w:t>odnosno</w:t>
      </w:r>
      <w:proofErr w:type="spellEnd"/>
      <w:r>
        <w:rPr>
          <w:szCs w:val="20"/>
          <w:lang w:val="en-AU"/>
        </w:rPr>
        <w:t xml:space="preserve">, </w:t>
      </w:r>
      <w:proofErr w:type="spellStart"/>
      <w:r>
        <w:rPr>
          <w:szCs w:val="20"/>
          <w:lang w:val="en-AU"/>
        </w:rPr>
        <w:t>osporenim</w:t>
      </w:r>
      <w:proofErr w:type="spellEnd"/>
      <w:r>
        <w:rPr>
          <w:szCs w:val="20"/>
          <w:lang w:val="en-AU"/>
        </w:rPr>
        <w:t xml:space="preserve"> </w:t>
      </w:r>
      <w:proofErr w:type="spellStart"/>
      <w:r>
        <w:rPr>
          <w:szCs w:val="20"/>
          <w:lang w:val="en-AU"/>
        </w:rPr>
        <w:t>tražbinama</w:t>
      </w:r>
      <w:proofErr w:type="spellEnd"/>
      <w:r>
        <w:rPr>
          <w:szCs w:val="20"/>
          <w:lang w:val="en-AU"/>
        </w:rPr>
        <w:t xml:space="preserve">, od 14. </w:t>
      </w:r>
      <w:proofErr w:type="spellStart"/>
      <w:proofErr w:type="gramStart"/>
      <w:r>
        <w:rPr>
          <w:szCs w:val="20"/>
          <w:lang w:val="en-AU"/>
        </w:rPr>
        <w:t>siječnja</w:t>
      </w:r>
      <w:proofErr w:type="spellEnd"/>
      <w:proofErr w:type="gramEnd"/>
      <w:r>
        <w:rPr>
          <w:szCs w:val="20"/>
          <w:lang w:val="en-AU"/>
        </w:rPr>
        <w:t xml:space="preserve"> </w:t>
      </w:r>
      <w:proofErr w:type="spellStart"/>
      <w:r>
        <w:rPr>
          <w:szCs w:val="20"/>
          <w:lang w:val="en-AU"/>
        </w:rPr>
        <w:t>i</w:t>
      </w:r>
      <w:proofErr w:type="spellEnd"/>
      <w:r>
        <w:rPr>
          <w:szCs w:val="20"/>
          <w:lang w:val="en-AU"/>
        </w:rPr>
        <w:t xml:space="preserve"> 06. </w:t>
      </w:r>
      <w:proofErr w:type="spellStart"/>
      <w:proofErr w:type="gramStart"/>
      <w:r>
        <w:rPr>
          <w:szCs w:val="20"/>
          <w:lang w:val="en-AU"/>
        </w:rPr>
        <w:t>lipnja</w:t>
      </w:r>
      <w:proofErr w:type="spellEnd"/>
      <w:proofErr w:type="gramEnd"/>
      <w:r>
        <w:rPr>
          <w:szCs w:val="20"/>
          <w:lang w:val="en-AU"/>
        </w:rPr>
        <w:t xml:space="preserve"> 2013. </w:t>
      </w:r>
      <w:proofErr w:type="gramStart"/>
      <w:r>
        <w:rPr>
          <w:szCs w:val="20"/>
          <w:lang w:val="en-AU"/>
        </w:rPr>
        <w:t>a</w:t>
      </w:r>
      <w:proofErr w:type="gramEnd"/>
      <w:r>
        <w:rPr>
          <w:szCs w:val="20"/>
          <w:lang w:val="en-AU"/>
        </w:rPr>
        <w:t xml:space="preserve"> </w:t>
      </w:r>
      <w:proofErr w:type="spellStart"/>
      <w:r>
        <w:rPr>
          <w:szCs w:val="20"/>
          <w:lang w:val="en-AU"/>
        </w:rPr>
        <w:t>osporena</w:t>
      </w:r>
      <w:proofErr w:type="spellEnd"/>
      <w:r>
        <w:rPr>
          <w:szCs w:val="20"/>
          <w:lang w:val="en-AU"/>
        </w:rPr>
        <w:t xml:space="preserve"> </w:t>
      </w:r>
      <w:proofErr w:type="spellStart"/>
      <w:r>
        <w:rPr>
          <w:szCs w:val="20"/>
          <w:lang w:val="en-AU"/>
        </w:rPr>
        <w:t>tražbina</w:t>
      </w:r>
      <w:proofErr w:type="spellEnd"/>
      <w:r>
        <w:rPr>
          <w:szCs w:val="20"/>
          <w:lang w:val="en-AU"/>
        </w:rPr>
        <w:t xml:space="preserve"> </w:t>
      </w:r>
      <w:proofErr w:type="spellStart"/>
      <w:r>
        <w:rPr>
          <w:szCs w:val="20"/>
          <w:lang w:val="en-AU"/>
        </w:rPr>
        <w:t>vjerovnika</w:t>
      </w:r>
      <w:proofErr w:type="spellEnd"/>
      <w:r>
        <w:rPr>
          <w:szCs w:val="20"/>
          <w:lang w:val="en-AU"/>
        </w:rPr>
        <w:t xml:space="preserve"> </w:t>
      </w:r>
      <w:r>
        <w:t xml:space="preserve">READYMIX CROATIA, d.o.o., Kaštel </w:t>
      </w:r>
      <w:proofErr w:type="spellStart"/>
      <w:r>
        <w:t>Sućurac</w:t>
      </w:r>
      <w:proofErr w:type="spellEnd"/>
      <w:r>
        <w:t>, u iznosu od: 772.352,79 kuna kasnije je utvrđena u iznosu od: 281.136,60 kuna, Rješenjem od 22. siječnja 2016.</w:t>
      </w:r>
    </w:p>
    <w:p w:rsidRDefault="00151F33" w:rsidP="00151F33" w:rsidR="00151F33">
      <w:pPr>
        <w:tabs>
          <w:tab w:pos="142" w:val="left"/>
        </w:tabs>
        <w:jc w:val="both"/>
        <w:rPr>
          <w:lang w:val="en-US"/>
        </w:rPr>
      </w:pPr>
      <w:r>
        <w:t xml:space="preserve">             </w:t>
      </w:r>
      <w:r>
        <w:rPr>
          <w:b/>
        </w:rPr>
        <w:t>3.</w:t>
      </w:r>
      <w:r>
        <w:t xml:space="preserve">  Završnim Izvješćem i Završnim računom Stečajnog upravitelja koje je zaprimljeno u Sudu 23. lipnja 2017. a zatim korigirano i dopunjeno zaprimljeno u Sudu 29. lipnja 2017, Stečajni je upravitelj predložio Sudu odrediti mu nagradu koja ga pripada u provođenju ovoga stečajnog postupka kao i naknadu troškova koje je isti imao tijekom trajanja stečajnog postupka. Pri tome je istakao kako je u ovome stečajnom postupku unovčena stečajna masa u iznosu od: 4.096.140,00 kuna, od čega je do 10. listopada 2015. kao dana stupanja na snagu Uredbe o kriterijima i načinu obračuna i plaćanje nagrade stečajnim upraviteljima (</w:t>
      </w:r>
      <w:r>
        <w:rPr>
          <w:i/>
        </w:rPr>
        <w:t>Narodne novine</w:t>
      </w:r>
      <w:r>
        <w:t xml:space="preserve">, br.: 105/15, dalje: </w:t>
      </w:r>
      <w:r>
        <w:rPr>
          <w:i/>
        </w:rPr>
        <w:t>nova</w:t>
      </w:r>
      <w:r>
        <w:t xml:space="preserve"> Uredba) unovčena stečajna mase u iznosu od: 242.266,78 kuna pa mu sukladno </w:t>
      </w:r>
      <w:r>
        <w:rPr>
          <w:i/>
        </w:rPr>
        <w:t>staroj</w:t>
      </w:r>
      <w:r>
        <w:t xml:space="preserve"> Uredbi istog naziva (</w:t>
      </w:r>
      <w:r>
        <w:rPr>
          <w:i/>
        </w:rPr>
        <w:t>Narodne novine</w:t>
      </w:r>
      <w:r>
        <w:t xml:space="preserve">, br.: 189/03, dalje: </w:t>
      </w:r>
      <w:r>
        <w:rPr>
          <w:i/>
        </w:rPr>
        <w:t>stara</w:t>
      </w:r>
      <w:r>
        <w:t xml:space="preserve"> Uredba) pripada od 7% do 10% neto od unovčene stečajne mase a isti je predložio odrediti mu iznos od 10% od unovčene stečajne mase a to je iznos od: 24.226,68 kuna neto (bruto to iznosi: 36.336,09 kuna). Preostali iznos unovčene stečajne mase od: 3.629.146,35 kuna je unovčen nakon stupanja na snagu </w:t>
      </w:r>
      <w:r>
        <w:rPr>
          <w:i/>
        </w:rPr>
        <w:t>nove</w:t>
      </w:r>
      <w:r>
        <w:t xml:space="preserve"> Uredbe pa mu sukladno </w:t>
      </w:r>
      <w:r>
        <w:rPr>
          <w:i/>
        </w:rPr>
        <w:t>novoj</w:t>
      </w:r>
      <w:r>
        <w:t xml:space="preserve"> Uredbi pripada bruto iznos od: 285.768,40 kuna (postotci od unovčene stečajne mase sukladno novoj Uredbi). isti je, također, predložio odrediti mu i naknadu troškova koje je isti imao tijekom ovoga stečajnog postupka i to u iznosu od: 200,00 kuna mjesečno, što bi od početka stečaja iznosilo za 57. mjeseci: 11.400,00 kuna neto, odnosno, bruto: 17.098,63 kune. Sud je prijedlog prihvatio i riješio kao u izrijeci ovog Rješenja zbog niže navedenih razloga.</w:t>
      </w:r>
    </w:p>
    <w:p w:rsidRDefault="00151F33" w:rsidP="00151F33" w:rsidR="00151F33">
      <w:pPr>
        <w:jc w:val="both"/>
      </w:pPr>
      <w:r>
        <w:t xml:space="preserve">             </w:t>
      </w:r>
      <w:r>
        <w:rPr>
          <w:b/>
        </w:rPr>
        <w:t>4.</w:t>
      </w:r>
      <w:r>
        <w:t xml:space="preserve"> Naime, člankom 94. u vezi sa člankom 441, </w:t>
      </w:r>
      <w:r>
        <w:rPr>
          <w:i/>
        </w:rPr>
        <w:t>novoga</w:t>
      </w:r>
      <w:r>
        <w:t xml:space="preserve"> SZ, propisano je kako stečajni upravitelj ima pravo na nagradu za svoj rad te na naknadu stvarnih troškova te kako nagradu rješenjem određuje sud prema Uredbi kojom Vlada Republike Hrvatske utvrđuje kriterije i način obračuna i plaćanja nagrade stečajnim upraviteljima a naknadu troškova rješenjem određuje sud na temelju pisanoga, obrazloženoga i dokumentiranog izvješća stečajnog upravitelja. </w:t>
      </w:r>
    </w:p>
    <w:p w:rsidRDefault="00151F33" w:rsidP="00151F33" w:rsidR="00151F33">
      <w:pPr>
        <w:jc w:val="both"/>
        <w:rPr>
          <w:i/>
        </w:rPr>
      </w:pPr>
      <w:r>
        <w:t xml:space="preserve">             </w:t>
      </w:r>
      <w:r>
        <w:rPr>
          <w:b/>
        </w:rPr>
        <w:t>5.</w:t>
      </w:r>
      <w:r>
        <w:t xml:space="preserve"> Iste su ili slične te odredbe sadržane i u </w:t>
      </w:r>
      <w:r>
        <w:rPr>
          <w:i/>
        </w:rPr>
        <w:t>staroj</w:t>
      </w:r>
      <w:r>
        <w:t xml:space="preserve"> i u </w:t>
      </w:r>
      <w:r>
        <w:rPr>
          <w:i/>
        </w:rPr>
        <w:t>novoj</w:t>
      </w:r>
      <w:r>
        <w:t xml:space="preserve"> Uredbi. Člankom 16, stavkom 2. i 3, </w:t>
      </w:r>
      <w:r>
        <w:rPr>
          <w:i/>
        </w:rPr>
        <w:t>nove</w:t>
      </w:r>
      <w:r>
        <w:t xml:space="preserve"> Uredbe je propisano:</w:t>
      </w:r>
      <w:r>
        <w:rPr>
          <w:color w:val="666666"/>
        </w:rPr>
        <w:t xml:space="preserve"> </w:t>
      </w:r>
      <w:r>
        <w:rPr>
          <w:i/>
        </w:rPr>
        <w:t>(2)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w:t>
      </w:r>
    </w:p>
    <w:p w:rsidRDefault="00151F33" w:rsidP="00151F33" w:rsidR="00151F33">
      <w:pPr>
        <w:jc w:val="both"/>
        <w:rPr>
          <w:i/>
        </w:rPr>
      </w:pPr>
    </w:p>
    <w:p w:rsidRDefault="00151F33" w:rsidP="00151F33" w:rsidR="00151F33">
      <w:pPr>
        <w:jc w:val="both"/>
        <w:rPr>
          <w:i/>
        </w:rPr>
      </w:pPr>
    </w:p>
    <w:p w:rsidRDefault="00151F33" w:rsidP="00151F33" w:rsidR="00151F33">
      <w:pPr>
        <w:jc w:val="both"/>
        <w:rPr>
          <w:i/>
        </w:rPr>
      </w:pPr>
    </w:p>
    <w:p w:rsidRDefault="00151F33" w:rsidP="00151F33" w:rsidR="00151F33">
      <w:pPr>
        <w:jc w:val="both"/>
        <w:rPr>
          <w:i/>
        </w:rPr>
      </w:pPr>
    </w:p>
    <w:p w:rsidRDefault="00151F33" w:rsidP="00151F33" w:rsidR="00151F33">
      <w:pPr>
        <w:jc w:val="both"/>
        <w:rPr>
          <w:szCs w:val="20"/>
          <w:lang w:val="en-AU"/>
        </w:rPr>
      </w:pPr>
      <w:r>
        <w:rPr>
          <w:szCs w:val="20"/>
          <w:lang w:val="en-AU"/>
        </w:rPr>
        <w:t xml:space="preserve">                                                                          </w:t>
      </w:r>
      <w:r>
        <w:rPr>
          <w:b/>
          <w:szCs w:val="20"/>
          <w:lang w:val="en-AU"/>
        </w:rPr>
        <w:t>- 3 -</w:t>
      </w:r>
      <w:r>
        <w:rPr>
          <w:szCs w:val="20"/>
          <w:lang w:val="en-AU"/>
        </w:rPr>
        <w:t xml:space="preserve">                        </w:t>
      </w:r>
      <w:r>
        <w:rPr>
          <w:b/>
          <w:szCs w:val="20"/>
        </w:rPr>
        <w:t>Broj</w:t>
      </w:r>
      <w:r>
        <w:rPr>
          <w:b/>
          <w:szCs w:val="20"/>
          <w:lang w:val="en-AU"/>
        </w:rPr>
        <w:t>:</w:t>
      </w:r>
      <w:r>
        <w:rPr>
          <w:szCs w:val="20"/>
          <w:lang w:val="en-AU"/>
        </w:rPr>
        <w:t xml:space="preserve"> </w:t>
      </w:r>
      <w:r>
        <w:rPr>
          <w:b/>
          <w:szCs w:val="20"/>
          <w:lang w:val="en-AU"/>
        </w:rPr>
        <w:t xml:space="preserve">14.  </w:t>
      </w:r>
      <w:r>
        <w:rPr>
          <w:b/>
          <w:szCs w:val="20"/>
        </w:rPr>
        <w:t>St</w:t>
      </w:r>
      <w:r>
        <w:rPr>
          <w:b/>
          <w:szCs w:val="20"/>
          <w:lang w:val="en-AU"/>
        </w:rPr>
        <w:t>-533/2011.</w:t>
      </w:r>
    </w:p>
    <w:p w:rsidRDefault="00151F33" w:rsidP="00151F33" w:rsidR="00151F33">
      <w:pPr>
        <w:jc w:val="both"/>
        <w:rPr>
          <w:i/>
        </w:rPr>
      </w:pPr>
    </w:p>
    <w:p w:rsidRDefault="00151F33" w:rsidP="00151F33" w:rsidR="00151F33">
      <w:pPr>
        <w:jc w:val="both"/>
        <w:rPr>
          <w:i/>
        </w:rPr>
      </w:pPr>
      <w:r>
        <w:rPr>
          <w:i/>
        </w:rPr>
        <w:t>stečajnom upravitelju pripada prema pravilima te Uredbe. (3) Za poslove obavljene nakon stupanja na snagu ove Uredbe, nagrada će se odrediti po njenim pravilima, vodeći računa o postotku namirenja iz stavka 2. ovoga članka.</w:t>
      </w:r>
    </w:p>
    <w:p w:rsidRDefault="00151F33" w:rsidP="00151F33" w:rsidR="00151F33">
      <w:pPr>
        <w:jc w:val="both"/>
        <w:rPr>
          <w:lang w:val="en-US"/>
        </w:rPr>
      </w:pPr>
      <w:r>
        <w:t xml:space="preserve">             </w:t>
      </w:r>
      <w:r>
        <w:rPr>
          <w:b/>
        </w:rPr>
        <w:t>6.</w:t>
      </w:r>
      <w:r>
        <w:t xml:space="preserve"> Uredbama je postavljena tablica za izračun nagrade stečajnog upravitelja. Prema </w:t>
      </w:r>
      <w:r>
        <w:rPr>
          <w:i/>
        </w:rPr>
        <w:t>staroj</w:t>
      </w:r>
      <w:r>
        <w:t xml:space="preserve"> Uredbi, ako je vrijednost  unovčene stečajne mase od: 100.000,00 kuna do: 500.000,00 kuna, tada stečajni upravitelj ima pravo na nagradu u visini od 7% do 10% od unovčene stečajne mase unovčene do stupanja na snagu </w:t>
      </w:r>
      <w:r>
        <w:rPr>
          <w:i/>
        </w:rPr>
        <w:t>nove</w:t>
      </w:r>
      <w:r>
        <w:t xml:space="preserve"> Uredbe. </w:t>
      </w:r>
      <w:r>
        <w:rPr>
          <w:lang w:val="fr-FR"/>
        </w:rPr>
        <w:t xml:space="preserve">Ovako određena nagrada određuje se u netto iznosu, kako je to propisano člankom 19, </w:t>
      </w:r>
      <w:r>
        <w:rPr>
          <w:i/>
          <w:lang w:val="fr-FR"/>
        </w:rPr>
        <w:t>stare</w:t>
      </w:r>
      <w:r>
        <w:rPr>
          <w:lang w:val="fr-FR"/>
        </w:rPr>
        <w:t xml:space="preserve"> Uredbe. Sukladno tome je Stečajni upravitelj i predložio a Sud prihvatio odrediti istome nagradu u visini od 24.226,68 kuna neto a to je upravo 10% od unovčene stečajne mase, koja je unovčena do stupanja na snagu </w:t>
      </w:r>
      <w:r>
        <w:rPr>
          <w:i/>
          <w:lang w:val="fr-FR"/>
        </w:rPr>
        <w:t>nove</w:t>
      </w:r>
      <w:r>
        <w:rPr>
          <w:lang w:val="fr-FR"/>
        </w:rPr>
        <w:t xml:space="preserve"> Uredbe u iznosu od: 242.266,78 kuna. Određeni neto iznos od : 24.226,68 kuna sa pripadajućim naknadama bruto iznosi: 36.336,09 kuna  </w:t>
      </w:r>
    </w:p>
    <w:p w:rsidRDefault="00151F33" w:rsidP="00151F33" w:rsidR="00151F33">
      <w:pPr>
        <w:jc w:val="both"/>
        <w:rPr>
          <w:lang w:val="fr-FR"/>
        </w:rPr>
      </w:pPr>
      <w:r>
        <w:t xml:space="preserve">             </w:t>
      </w:r>
      <w:r>
        <w:rPr>
          <w:b/>
        </w:rPr>
        <w:t>7.</w:t>
      </w:r>
      <w:r>
        <w:t xml:space="preserve"> Prema </w:t>
      </w:r>
      <w:r>
        <w:rPr>
          <w:i/>
        </w:rPr>
        <w:t>novoj</w:t>
      </w:r>
      <w:r>
        <w:t xml:space="preserve"> Uredbi je, člankom 7, također postavljena tablica za izračun nagrade stečajnog upravitelja. Prema istoj Uredbi, ako je vrijednost  unovčene stečajne mase do: 100.000,00 kuna, tada stečajni upravitelj ima pravo na nagradu u visini od 16% od unovčene stečajne mase. Na razliku od 100.000,01 do 300.000,00 kuna stečajni upravitelj ima pravo na nagradu u visini od 12%, na razliku od 300.000,01 do 500.000,00 kuna stečajni upravitelj ima pravo na nagradu u visini od 10%, na razliku od 500.000,01 do 1.000.000,00 kuna stečajni upravitelj ima pravo na nagradu u visini od 8%, na razliku od 1.000.000,01 do 5.000.000,00 kuna stečajni upravitelj ima pravo na nagradu u visini od 7%. </w:t>
      </w:r>
      <w:r>
        <w:rPr>
          <w:lang w:val="fr-FR"/>
        </w:rPr>
        <w:t>Ovako određena nagrada određuje se u bruto iznosu, kako je to propisano člankom 15, Uredbe.</w:t>
      </w:r>
    </w:p>
    <w:p w:rsidRDefault="00151F33" w:rsidP="00151F33" w:rsidR="00151F33">
      <w:pPr>
        <w:jc w:val="both"/>
        <w:rPr>
          <w:lang w:val="fr-FR"/>
        </w:rPr>
      </w:pPr>
      <w:r>
        <w:t xml:space="preserve">            </w:t>
      </w:r>
      <w:r>
        <w:rPr>
          <w:b/>
        </w:rPr>
        <w:t>8.</w:t>
      </w:r>
      <w:r>
        <w:t xml:space="preserve">  </w:t>
      </w:r>
      <w:r>
        <w:rPr>
          <w:lang w:val="fr-FR"/>
        </w:rPr>
        <w:t xml:space="preserve">U ovome je stečajnom postupku, nakon stupanja na snagu </w:t>
      </w:r>
      <w:r>
        <w:rPr>
          <w:i/>
          <w:lang w:val="fr-FR"/>
        </w:rPr>
        <w:t>nove</w:t>
      </w:r>
      <w:r>
        <w:rPr>
          <w:lang w:val="fr-FR"/>
        </w:rPr>
        <w:t xml:space="preserve"> Uredbe, sukladno Izvješću Stečajnog upravitelja, stečajna masa unovčena za iznos od: 3.629.146,35 kuna pa sukladno tablici iz članka 7, </w:t>
      </w:r>
      <w:r>
        <w:rPr>
          <w:i/>
          <w:lang w:val="fr-FR"/>
        </w:rPr>
        <w:t>nove</w:t>
      </w:r>
      <w:r>
        <w:rPr>
          <w:lang w:val="fr-FR"/>
        </w:rPr>
        <w:t xml:space="preserve"> Uredbe, postotak nagrade Stečajnom upravitelju iznosi i pripada ga kako slijedi:</w:t>
      </w:r>
    </w:p>
    <w:p w:rsidRDefault="00151F33" w:rsidP="00151F33" w:rsidR="00151F33">
      <w:pPr>
        <w:pStyle w:val="Bezproreda"/>
        <w:rPr>
          <w:lang w:val="fr-FR"/>
        </w:rPr>
      </w:pPr>
    </w:p>
    <w:p w:rsidRDefault="00151F33" w:rsidP="00151F33" w:rsidR="00151F33">
      <w:pPr>
        <w:pStyle w:val="Bezproreda"/>
        <w:rPr>
          <w:lang w:val="fr-FR"/>
        </w:rPr>
      </w:pPr>
      <w:r>
        <w:rPr>
          <w:lang w:val="fr-FR"/>
        </w:rPr>
        <w:t>16% od 100.000,00 kuna je:   16.000,00 kuna,</w:t>
      </w:r>
    </w:p>
    <w:p w:rsidRDefault="00151F33" w:rsidP="00151F33" w:rsidR="00151F33">
      <w:pPr>
        <w:pStyle w:val="Bezproreda"/>
        <w:rPr>
          <w:lang w:val="fr-FR"/>
        </w:rPr>
      </w:pPr>
      <w:r>
        <w:rPr>
          <w:lang w:val="fr-FR"/>
        </w:rPr>
        <w:t>12% od 200.000,00 kuna je:   24.000,00 kuna,</w:t>
      </w:r>
    </w:p>
    <w:p w:rsidRDefault="00151F33" w:rsidP="00151F33" w:rsidR="00151F33">
      <w:pPr>
        <w:pStyle w:val="Bezproreda"/>
        <w:rPr>
          <w:lang w:val="fr-FR"/>
        </w:rPr>
      </w:pPr>
      <w:r>
        <w:rPr>
          <w:lang w:val="fr-FR"/>
        </w:rPr>
        <w:t>10% od 200.000,00 kuna je:   20.000,00 kuna,</w:t>
      </w:r>
    </w:p>
    <w:p w:rsidRDefault="00151F33" w:rsidP="00151F33" w:rsidR="00151F33">
      <w:pPr>
        <w:pStyle w:val="Bezproreda"/>
        <w:rPr>
          <w:lang w:val="fr-FR"/>
        </w:rPr>
      </w:pPr>
      <w:r>
        <w:rPr>
          <w:lang w:val="fr-FR"/>
        </w:rPr>
        <w:t>8% od 500.000,00 kuna je:    40.000,00 kuna,</w:t>
      </w:r>
    </w:p>
    <w:p w:rsidRDefault="00151F33" w:rsidP="00151F33" w:rsidR="00151F33">
      <w:pPr>
        <w:pStyle w:val="Bezproreda"/>
        <w:rPr>
          <w:lang w:val="fr-FR"/>
        </w:rPr>
      </w:pPr>
      <w:r>
        <w:rPr>
          <w:lang w:val="fr-FR"/>
        </w:rPr>
        <w:t>7% od 2.629.146,35 kuna je: 184.040,24 kune.</w:t>
      </w:r>
    </w:p>
    <w:p w:rsidRDefault="00151F33" w:rsidP="00151F33" w:rsidR="00151F33">
      <w:pPr>
        <w:jc w:val="both"/>
        <w:rPr>
          <w:lang w:val="fr-FR"/>
        </w:rPr>
      </w:pPr>
    </w:p>
    <w:p w:rsidRDefault="00151F33" w:rsidP="00151F33" w:rsidR="00151F33">
      <w:pPr>
        <w:jc w:val="both"/>
        <w:rPr>
          <w:lang w:val="fr-FR"/>
        </w:rPr>
      </w:pPr>
      <w:r>
        <w:rPr>
          <w:lang w:val="fr-FR"/>
        </w:rPr>
        <w:t xml:space="preserve">Sveukupan iznos koji po </w:t>
      </w:r>
      <w:r>
        <w:rPr>
          <w:i/>
          <w:lang w:val="fr-FR"/>
        </w:rPr>
        <w:t>novoj</w:t>
      </w:r>
      <w:r>
        <w:rPr>
          <w:lang w:val="fr-FR"/>
        </w:rPr>
        <w:t xml:space="preserve"> Uredbi pripada Stečajnog upravitelja na ime nagrade je 284.040,24 kuna a to je upravo neznatno manji iznos od iznosa koji je Stečajni upravitelj i predložio (manji za iznos od : 1.728,15 kuna). Zato je Sud i priznao iznos od: 285.768,40 kuna a koji je Stečajni upravitelj i predložio. Iznos ukupne nagrade (po </w:t>
      </w:r>
      <w:r>
        <w:rPr>
          <w:i/>
          <w:lang w:val="fr-FR"/>
        </w:rPr>
        <w:t>staroj</w:t>
      </w:r>
    </w:p>
    <w:p w:rsidRDefault="00151F33" w:rsidP="00151F33" w:rsidR="00151F33">
      <w:pPr>
        <w:jc w:val="both"/>
        <w:rPr>
          <w:lang w:val="fr-FR"/>
        </w:rPr>
      </w:pPr>
    </w:p>
    <w:p w:rsidRDefault="00151F33" w:rsidP="00151F33" w:rsidR="00151F33">
      <w:pPr>
        <w:jc w:val="both"/>
        <w:rPr>
          <w:lang w:val="fr-FR"/>
        </w:rPr>
      </w:pPr>
    </w:p>
    <w:p w:rsidRDefault="00151F33" w:rsidP="00151F33" w:rsidR="00151F33">
      <w:pPr>
        <w:jc w:val="both"/>
        <w:rPr>
          <w:lang w:val="fr-FR"/>
        </w:rPr>
      </w:pPr>
    </w:p>
    <w:p w:rsidRDefault="00151F33" w:rsidP="00151F33" w:rsidR="00151F33">
      <w:pPr>
        <w:jc w:val="both"/>
        <w:rPr>
          <w:szCs w:val="20"/>
          <w:lang w:val="en-AU"/>
        </w:rPr>
      </w:pPr>
      <w:r>
        <w:rPr>
          <w:szCs w:val="20"/>
          <w:lang w:val="en-AU"/>
        </w:rPr>
        <w:t xml:space="preserve">                                                                          </w:t>
      </w:r>
      <w:r>
        <w:rPr>
          <w:b/>
          <w:szCs w:val="20"/>
          <w:lang w:val="en-AU"/>
        </w:rPr>
        <w:t>- 4 -</w:t>
      </w:r>
      <w:r>
        <w:rPr>
          <w:szCs w:val="20"/>
          <w:lang w:val="en-AU"/>
        </w:rPr>
        <w:t xml:space="preserve">                        </w:t>
      </w:r>
      <w:r>
        <w:rPr>
          <w:b/>
          <w:szCs w:val="20"/>
        </w:rPr>
        <w:t>Broj</w:t>
      </w:r>
      <w:r>
        <w:rPr>
          <w:b/>
          <w:szCs w:val="20"/>
          <w:lang w:val="en-AU"/>
        </w:rPr>
        <w:t>:</w:t>
      </w:r>
      <w:r>
        <w:rPr>
          <w:szCs w:val="20"/>
          <w:lang w:val="en-AU"/>
        </w:rPr>
        <w:t xml:space="preserve"> </w:t>
      </w:r>
      <w:r>
        <w:rPr>
          <w:b/>
          <w:szCs w:val="20"/>
          <w:lang w:val="en-AU"/>
        </w:rPr>
        <w:t xml:space="preserve">14.  </w:t>
      </w:r>
      <w:r>
        <w:rPr>
          <w:b/>
          <w:szCs w:val="20"/>
        </w:rPr>
        <w:t>St</w:t>
      </w:r>
      <w:r>
        <w:rPr>
          <w:b/>
          <w:szCs w:val="20"/>
          <w:lang w:val="en-AU"/>
        </w:rPr>
        <w:t>-533/2011.</w:t>
      </w:r>
    </w:p>
    <w:p w:rsidRDefault="00151F33" w:rsidP="00151F33" w:rsidR="00151F33">
      <w:pPr>
        <w:jc w:val="both"/>
        <w:rPr>
          <w:lang w:val="fr-FR"/>
        </w:rPr>
      </w:pPr>
    </w:p>
    <w:p w:rsidRDefault="00151F33" w:rsidP="00151F33" w:rsidR="00151F33">
      <w:pPr>
        <w:jc w:val="both"/>
        <w:rPr>
          <w:lang w:val="fr-FR"/>
        </w:rPr>
      </w:pPr>
      <w:r>
        <w:rPr>
          <w:lang w:val="fr-FR"/>
        </w:rPr>
        <w:t xml:space="preserve">i </w:t>
      </w:r>
      <w:r>
        <w:rPr>
          <w:i/>
          <w:lang w:val="fr-FR"/>
        </w:rPr>
        <w:t>novoj</w:t>
      </w:r>
      <w:r>
        <w:rPr>
          <w:lang w:val="fr-FR"/>
        </w:rPr>
        <w:t xml:space="preserve"> Uredbi) je: 322.104,40 kuna. Kada se ovom iznosu nagrade doda još i iznos na ime naknade troškova od : 17.098,63 kune bruto, onda ukupni iznos nagrade i naknade troškova bruto iznosi: 339.103,00 kuna a ovaj se iznos uvećaje još i za iznos od 7%, tj., za iznos od: 23.737,21 kunu a koji se iznos odnosi na doprinos za zdravstveno osiguranje koji ide na teret poslodavca-stečajnog dužnika kao isplatitelja, kako je to i obrazložio Stečajni upravitelj u prijedlogu izračuna nagrade.</w:t>
      </w:r>
    </w:p>
    <w:p w:rsidRDefault="00151F33" w:rsidP="00151F33" w:rsidR="00151F33">
      <w:pPr>
        <w:jc w:val="both"/>
        <w:rPr>
          <w:lang w:val="en-US"/>
        </w:rPr>
      </w:pPr>
      <w:r>
        <w:t xml:space="preserve">            </w:t>
      </w:r>
      <w:r>
        <w:rPr>
          <w:b/>
        </w:rPr>
        <w:t>9.</w:t>
      </w:r>
      <w:r>
        <w:t xml:space="preserve">  </w:t>
      </w:r>
      <w:r>
        <w:rPr>
          <w:lang w:val="fr-FR"/>
        </w:rPr>
        <w:t xml:space="preserve">Sukladno navedenome je Stečajni upravitelj i predložio a Sud prihvatio odrediti mu nagradu u visini od unovčene stečajne mase i sukladno </w:t>
      </w:r>
      <w:r>
        <w:rPr>
          <w:i/>
          <w:lang w:val="fr-FR"/>
        </w:rPr>
        <w:t>staroj</w:t>
      </w:r>
      <w:r>
        <w:rPr>
          <w:lang w:val="fr-FR"/>
        </w:rPr>
        <w:t xml:space="preserve"> i </w:t>
      </w:r>
      <w:r>
        <w:rPr>
          <w:i/>
          <w:lang w:val="fr-FR"/>
        </w:rPr>
        <w:t>novoj</w:t>
      </w:r>
      <w:r>
        <w:rPr>
          <w:lang w:val="fr-FR"/>
        </w:rPr>
        <w:t xml:space="preserve"> Uredbi  kako je to gore navedeno, ovisno kako je koji iznos stečajne mase unovčen, da li prije ili nakon stupanja na snagu </w:t>
      </w:r>
      <w:r>
        <w:rPr>
          <w:i/>
          <w:lang w:val="fr-FR"/>
        </w:rPr>
        <w:t>nove</w:t>
      </w:r>
      <w:r>
        <w:rPr>
          <w:lang w:val="fr-FR"/>
        </w:rPr>
        <w:t xml:space="preserve"> Uredbe (10. listopada 2015). </w:t>
      </w:r>
    </w:p>
    <w:p w:rsidRDefault="00151F33" w:rsidP="00151F33" w:rsidR="00151F33">
      <w:pPr>
        <w:jc w:val="both"/>
        <w:rPr>
          <w:lang w:val="en-US"/>
        </w:rPr>
      </w:pPr>
      <w:r>
        <w:t xml:space="preserve">             </w:t>
      </w:r>
      <w:r>
        <w:rPr>
          <w:b/>
        </w:rPr>
        <w:t>10.</w:t>
      </w:r>
      <w:r>
        <w:t xml:space="preserve"> </w:t>
      </w:r>
      <w:r>
        <w:rPr>
          <w:lang w:val="fr-FR"/>
        </w:rPr>
        <w:t>Pri tome se ističe kako je Stečajni upravitelj Marko Bitanga na tu dužnost imenovan Rješenjem o otvaranju stečajnog postupka od 14. studenog 2012, broj: gornji i tu dužnost obnaša sve do sada. Za vrijeme obnašanja dužnosti isti je unovčio svu imovinu Dužnika za iznose gore navedene. Isti je obavio sve radnje vezane za ispitivanje tražbina, sređivanje i vođenje poslovnih knjiga Dužnika, iz unovčene stečajne mase, nakon što su namirena razlučna prava u okvirima ostvarene kupovnine iz objekata razlučnog prava, podmirit će se troškovi stečajnog postupka i ostale obveze stečajne mase kao i stečajni vjerovnici prvoga višega isplatnog reda u visini od 100% od utvrđenih im tražbina u ovome stečajnom postupku te vjerovnici drugoga višega isplatnog reda u visini od : 17,53% od utvrđenih im tražbina u ovome stečajnom postupku, kako je to i određeno u Završnom diobnom popisu, odnosno, sukladno Završnoj diobi. Sve su to činjenice koje se utvrđuju iz spisa predmeta.</w:t>
      </w:r>
    </w:p>
    <w:p w:rsidRDefault="00151F33" w:rsidP="00151F33" w:rsidR="00151F33">
      <w:pPr>
        <w:jc w:val="both"/>
      </w:pPr>
      <w:r>
        <w:t xml:space="preserve">             </w:t>
      </w:r>
      <w:r>
        <w:rPr>
          <w:b/>
        </w:rPr>
        <w:t>11.</w:t>
      </w:r>
      <w:r>
        <w:t xml:space="preserve"> Zbog svega navedenog je Sud ovim Rješenjem i odredio iznos nagrade Stečajnog upravitelja za cijelo razdoblje trajanja ovoga stečajnog postupka u iznosu kako je to i navedeno u izrijeci Rješenja.</w:t>
      </w:r>
    </w:p>
    <w:p w:rsidRDefault="00151F33" w:rsidP="00151F33" w:rsidR="00151F33">
      <w:pPr>
        <w:jc w:val="both"/>
      </w:pPr>
      <w:r>
        <w:t xml:space="preserve">             </w:t>
      </w:r>
      <w:r>
        <w:rPr>
          <w:b/>
        </w:rPr>
        <w:t>12.</w:t>
      </w:r>
      <w:r>
        <w:t xml:space="preserve"> Vezano za troškove stečajnog postupka, Sud je Stečajnom upravitelju priznao troškove koje je isti predložio odrediti mu u ovome stečajnom postupku. Pri tome je Sud prihvatio prijedlog Stečajnog upravitelja i priznao istome na ime troškova zatraženi iznos. O samoj visini troškova Sud je odlučio po slobodnoj procjeni, prihvativši iznos troškova od 200,00 kuna mjesečno koje je Stečajni upravitelj naveo u svome navedenom Izvješću, smatrajući iste troškove opravdanim, sve obzirom na duljinu trajanja ovoga stečajnog postupka i činjenicu kako je prebivalište Stečajnog upravitelja u </w:t>
      </w:r>
      <w:proofErr w:type="spellStart"/>
      <w:r>
        <w:t>Podstrani</w:t>
      </w:r>
      <w:proofErr w:type="spellEnd"/>
      <w:r>
        <w:t xml:space="preserve"> a imovina se nalazila u Splitu, Zagrebu i u </w:t>
      </w:r>
      <w:proofErr w:type="spellStart"/>
      <w:r>
        <w:t>Muću</w:t>
      </w:r>
      <w:proofErr w:type="spellEnd"/>
      <w:r>
        <w:t>, što je iziskivalo i znatnije troškove vezano za imovinu i brigu o istoj i oko prodaje iste imovine. Utvrđivanje točnog iznosa tih izdataka-troškova Sudu bi oduzelo i previše vremena. Zato je ovaj Sud stajališta kako je mnogo</w:t>
      </w:r>
    </w:p>
    <w:p w:rsidRDefault="00151F33" w:rsidP="00151F33" w:rsidR="00151F33">
      <w:pPr>
        <w:jc w:val="both"/>
      </w:pPr>
    </w:p>
    <w:p w:rsidRDefault="00151F33" w:rsidP="00151F33" w:rsidR="00151F33">
      <w:pPr>
        <w:jc w:val="both"/>
      </w:pPr>
    </w:p>
    <w:p w:rsidRDefault="00151F33" w:rsidP="00151F33" w:rsidR="00151F33">
      <w:pPr>
        <w:jc w:val="both"/>
        <w:rPr>
          <w:szCs w:val="20"/>
          <w:lang w:val="en-AU"/>
        </w:rPr>
      </w:pPr>
      <w:r>
        <w:rPr>
          <w:szCs w:val="20"/>
          <w:lang w:val="en-AU"/>
        </w:rPr>
        <w:t xml:space="preserve">                                                                          </w:t>
      </w:r>
      <w:r>
        <w:rPr>
          <w:b/>
          <w:szCs w:val="20"/>
          <w:lang w:val="en-AU"/>
        </w:rPr>
        <w:t>- 5 -</w:t>
      </w:r>
      <w:r>
        <w:rPr>
          <w:szCs w:val="20"/>
          <w:lang w:val="en-AU"/>
        </w:rPr>
        <w:t xml:space="preserve">                        </w:t>
      </w:r>
      <w:r>
        <w:rPr>
          <w:b/>
          <w:szCs w:val="20"/>
        </w:rPr>
        <w:t>Broj</w:t>
      </w:r>
      <w:r>
        <w:rPr>
          <w:b/>
          <w:szCs w:val="20"/>
          <w:lang w:val="en-AU"/>
        </w:rPr>
        <w:t>:</w:t>
      </w:r>
      <w:r>
        <w:rPr>
          <w:szCs w:val="20"/>
          <w:lang w:val="en-AU"/>
        </w:rPr>
        <w:t xml:space="preserve"> </w:t>
      </w:r>
      <w:r>
        <w:rPr>
          <w:b/>
          <w:szCs w:val="20"/>
          <w:lang w:val="en-AU"/>
        </w:rPr>
        <w:t xml:space="preserve">14.  </w:t>
      </w:r>
      <w:r>
        <w:rPr>
          <w:b/>
          <w:szCs w:val="20"/>
        </w:rPr>
        <w:t>St</w:t>
      </w:r>
      <w:r>
        <w:rPr>
          <w:b/>
          <w:szCs w:val="20"/>
          <w:lang w:val="en-AU"/>
        </w:rPr>
        <w:t>-533/2011.</w:t>
      </w:r>
    </w:p>
    <w:p w:rsidRDefault="00151F33" w:rsidP="00151F33" w:rsidR="00151F33">
      <w:pPr>
        <w:jc w:val="both"/>
      </w:pPr>
    </w:p>
    <w:p w:rsidRDefault="00151F33" w:rsidP="00151F33" w:rsidR="00151F33">
      <w:pPr>
        <w:jc w:val="both"/>
      </w:pPr>
      <w:r>
        <w:t xml:space="preserve">razumnije, </w:t>
      </w:r>
      <w:proofErr w:type="spellStart"/>
      <w:r>
        <w:t>ratio</w:t>
      </w:r>
      <w:proofErr w:type="spellEnd"/>
      <w:r>
        <w:t>-</w:t>
      </w:r>
      <w:proofErr w:type="spellStart"/>
      <w:r>
        <w:t>nalnije</w:t>
      </w:r>
      <w:proofErr w:type="spellEnd"/>
      <w:r>
        <w:t xml:space="preserve"> i primjerenije, paušalno odrediti visinu izdataka i troška Stečajnog upravitelja u zatraženom iznosu od: 200,00 kuna mjesečno neto, koji iznos ovaj Sud smatra razumnim i prihvatljivim, radi čega je isti iznos Sud i priznao na ime izdataka i troškova koje je Stečajni upravitelj imao u obavljanju dužnosti stečajnog upravitelja u ovome stečajnom postupku. Ovakvo stajalište Sud temelji na analognoj primjeni odredbe članka 223., Zakona o parničnom postupku (</w:t>
      </w:r>
      <w:r>
        <w:rPr>
          <w:i/>
        </w:rPr>
        <w:t>Narodne novine,</w:t>
      </w:r>
      <w:r>
        <w:t xml:space="preserve"> br.: 148/11.-pročišćeni tekst, 25/13. i 89/14.-Odluka USRH, br.: U-I-885/2013., dalje: ZPP), koji se u ovome stečajnom postupku </w:t>
      </w:r>
      <w:proofErr w:type="spellStart"/>
      <w:r>
        <w:t>podredno</w:t>
      </w:r>
      <w:proofErr w:type="spellEnd"/>
      <w:r>
        <w:t xml:space="preserve"> primjenjuje temeljem članka 6, </w:t>
      </w:r>
      <w:r>
        <w:rPr>
          <w:i/>
        </w:rPr>
        <w:t>staroga</w:t>
      </w:r>
      <w:r>
        <w:t xml:space="preserve"> SZ (članak 10, SZ/15), prema kojoj odredbi članka 223, ZPP-a je sud ovlašten o novčanoj svoti odlučiti prema slobodnoj procjeni ako nađe da stranci pripada pravo na novčanu svotu ali se visina svote ne može utvrditi ili bi se mogla utvrditi samo s nerazmjernim teškoćama</w:t>
      </w:r>
    </w:p>
    <w:p w:rsidRDefault="00151F33" w:rsidP="00151F33" w:rsidR="00151F33">
      <w:pPr>
        <w:jc w:val="both"/>
      </w:pPr>
      <w:r>
        <w:t xml:space="preserve">             </w:t>
      </w:r>
      <w:r>
        <w:rPr>
          <w:b/>
        </w:rPr>
        <w:t>13.</w:t>
      </w:r>
      <w:r>
        <w:t xml:space="preserve"> Kako je Stečajnom upravitelju, tijekom trajanja ovoga stečajnog postupka, isplaćeno na ime predujma naknade troškova iznos pobliže naveden u izrijeci ovog Rješenja, tj., iznos od: 3.450,00 kuna neto a po Rješenju Suda od 12. prosinca 2013, to su istome ovim Rješenjem određeni troškovi umanjeni za isplatiti upravo za ovaj isplaćeni iznos kako je to sve i navedeno u izrijeci Rješenja.</w:t>
      </w:r>
    </w:p>
    <w:p w:rsidRDefault="00151F33" w:rsidP="00151F33" w:rsidR="00151F33">
      <w:pPr>
        <w:jc w:val="both"/>
      </w:pPr>
      <w:r>
        <w:t xml:space="preserve">             </w:t>
      </w:r>
      <w:r>
        <w:rPr>
          <w:b/>
        </w:rPr>
        <w:t>14.</w:t>
      </w:r>
      <w:r>
        <w:t xml:space="preserve"> Točkom 2, izrijeke Rješenja je Stečajni upravitelj ovlašten isplatiti si određeni iznos nagrade te određeni a neisplaćeni iznos naknade troškova, na sve navedene neto iznose obračunati pripadajuće poreze, prireze i doprinose i iste uplatiti na odgovarajuće račune proračunskih korisnika sve to nakon pravomoćnosti ovog Rješenja.</w:t>
      </w:r>
    </w:p>
    <w:p w:rsidRDefault="00151F33" w:rsidP="00151F33" w:rsidR="00151F33">
      <w:pPr>
        <w:jc w:val="both"/>
      </w:pPr>
    </w:p>
    <w:p w:rsidRDefault="00151F33" w:rsidP="00151F33" w:rsidR="00151F33">
      <w:pPr>
        <w:jc w:val="both"/>
      </w:pPr>
      <w:r>
        <w:t xml:space="preserve">             </w:t>
      </w:r>
      <w:r>
        <w:rPr>
          <w:b/>
        </w:rPr>
        <w:t>15.</w:t>
      </w:r>
      <w:r>
        <w:t xml:space="preserve"> Sukladno svemu navedenom i temeljem navedenih odredaba pozitivnih propisa, riješeno je kao u izrijeci Rješenja.</w:t>
      </w:r>
    </w:p>
    <w:p w:rsidRDefault="00151F33" w:rsidP="00151F33" w:rsidR="00151F33"/>
    <w:p w:rsidRDefault="00151F33" w:rsidP="00151F33" w:rsidR="00151F33">
      <w:pPr>
        <w:jc w:val="center"/>
      </w:pPr>
      <w:r>
        <w:t>U Splitu, 05. srpnja 2017.</w:t>
      </w:r>
    </w:p>
    <w:p w:rsidRDefault="00151F33" w:rsidP="00151F33" w:rsidR="00151F33">
      <w:r>
        <w:t xml:space="preserve">                                                                                                           STEČAJNI SUDAC:</w:t>
      </w:r>
    </w:p>
    <w:p w:rsidRDefault="00151F33" w:rsidP="00151F33" w:rsidR="00151F33">
      <w:r>
        <w:t xml:space="preserve">                                                                                                               </w:t>
      </w:r>
      <w:smartTag w:element="PersonName" w:uri="urn:schemas-microsoft-com:office:smarttags">
        <w:r>
          <w:t>Jozo Ćaleta</w:t>
        </w:r>
      </w:smartTag>
      <w:r>
        <w:t>, v.r.,</w:t>
      </w:r>
    </w:p>
    <w:p w:rsidRDefault="00151F33" w:rsidP="00151F33" w:rsidR="00151F33"/>
    <w:p w:rsidRDefault="00151F33" w:rsidP="00151F33" w:rsidR="00151F33">
      <w:pPr>
        <w:jc w:val="both"/>
      </w:pPr>
      <w:r>
        <w:rPr>
          <w:u w:val="single"/>
        </w:rPr>
        <w:t>Pravna pouka:</w:t>
      </w:r>
      <w:r>
        <w:t xml:space="preserve"> Protiv ovog Rješenja može se izjaviti žalba u roku od osam dana. Žalba se u tri primjeraka dostavlja ovom Sudu a o istoj žalbi u drugom stupnju odlučuje Visoki trgovački sud Republike Hrvatske u Zagrebu.</w:t>
      </w:r>
    </w:p>
    <w:p w:rsidRDefault="00151F33" w:rsidP="00151F33" w:rsidR="00151F33">
      <w:pPr>
        <w:jc w:val="both"/>
        <w:rPr>
          <w:b/>
        </w:rPr>
      </w:pPr>
    </w:p>
    <w:p w:rsidRDefault="00151F33" w:rsidP="00151F33" w:rsidR="00151F33">
      <w:pPr>
        <w:jc w:val="both"/>
        <w:rPr>
          <w:b/>
        </w:rPr>
      </w:pPr>
    </w:p>
    <w:p w:rsidRDefault="00151F33" w:rsidP="00151F33" w:rsidR="00151F33">
      <w:pPr>
        <w:jc w:val="both"/>
        <w:rPr>
          <w:szCs w:val="20"/>
          <w:lang w:val="en-AU"/>
        </w:rPr>
      </w:pPr>
      <w:r>
        <w:rPr>
          <w:szCs w:val="20"/>
          <w:lang w:val="en-AU"/>
        </w:rPr>
        <w:t xml:space="preserve">                                                                          </w:t>
      </w:r>
      <w:r>
        <w:rPr>
          <w:b/>
          <w:szCs w:val="20"/>
          <w:lang w:val="en-AU"/>
        </w:rPr>
        <w:t>- 6 -</w:t>
      </w:r>
      <w:r>
        <w:rPr>
          <w:szCs w:val="20"/>
          <w:lang w:val="en-AU"/>
        </w:rPr>
        <w:t xml:space="preserve">                        </w:t>
      </w:r>
      <w:r>
        <w:rPr>
          <w:b/>
          <w:szCs w:val="20"/>
        </w:rPr>
        <w:t>Broj</w:t>
      </w:r>
      <w:r>
        <w:rPr>
          <w:b/>
          <w:szCs w:val="20"/>
          <w:lang w:val="en-AU"/>
        </w:rPr>
        <w:t>:</w:t>
      </w:r>
      <w:r>
        <w:rPr>
          <w:szCs w:val="20"/>
          <w:lang w:val="en-AU"/>
        </w:rPr>
        <w:t xml:space="preserve"> </w:t>
      </w:r>
      <w:r>
        <w:rPr>
          <w:b/>
          <w:szCs w:val="20"/>
          <w:lang w:val="en-AU"/>
        </w:rPr>
        <w:t xml:space="preserve">14.  </w:t>
      </w:r>
      <w:r>
        <w:rPr>
          <w:b/>
          <w:szCs w:val="20"/>
        </w:rPr>
        <w:t>St</w:t>
      </w:r>
      <w:r>
        <w:rPr>
          <w:b/>
          <w:szCs w:val="20"/>
          <w:lang w:val="en-AU"/>
        </w:rPr>
        <w:t>-533/2011.</w:t>
      </w:r>
    </w:p>
    <w:p w:rsidRDefault="00151F33" w:rsidP="00151F33" w:rsidR="00151F33">
      <w:pPr>
        <w:pStyle w:val="Bezproreda"/>
        <w:rPr>
          <w:lang w:val="en-US"/>
        </w:rPr>
      </w:pPr>
    </w:p>
    <w:p w:rsidRDefault="00151F33" w:rsidP="00151F33" w:rsidR="00151F33">
      <w:pPr>
        <w:pStyle w:val="Bezproreda"/>
      </w:pPr>
      <w:r>
        <w:rPr>
          <w:bCs/>
        </w:rPr>
        <w:t xml:space="preserve">DNA:    1.  Stečajni upravitelj </w:t>
      </w:r>
      <w:r>
        <w:rPr>
          <w:lang w:val="fr-FR"/>
        </w:rPr>
        <w:t>Marko Bitanga, iz Podstrane, Radićeva 47,</w:t>
      </w:r>
    </w:p>
    <w:p w:rsidRDefault="00151F33" w:rsidP="00151F33" w:rsidR="00151F33">
      <w:pPr>
        <w:pStyle w:val="Bezproreda"/>
        <w:rPr>
          <w:bCs/>
        </w:rPr>
      </w:pPr>
      <w:r>
        <w:rPr>
          <w:bCs/>
        </w:rPr>
        <w:t xml:space="preserve">              2.  Mrežna stranica e- Oglasna ploča sudova - rok: 20. dana,</w:t>
      </w:r>
    </w:p>
    <w:p w:rsidRDefault="00151F33" w:rsidP="00151F33" w:rsidR="00151F33">
      <w:pPr>
        <w:pStyle w:val="Bezproreda"/>
        <w:rPr>
          <w:bCs/>
        </w:rPr>
      </w:pPr>
      <w:r>
        <w:rPr>
          <w:bCs/>
        </w:rPr>
        <w:t xml:space="preserve">              3.  Spis.</w:t>
      </w:r>
    </w:p>
    <w:p w:rsidRDefault="00151F33" w:rsidP="00151F33" w:rsidR="00151F33">
      <w:pPr>
        <w:pStyle w:val="Bezproreda"/>
        <w:rPr>
          <w:bCs/>
        </w:rPr>
      </w:pPr>
    </w:p>
    <w:p w:rsidRDefault="00151F33" w:rsidP="00151F33" w:rsidR="00151F33">
      <w:pPr>
        <w:jc w:val="both"/>
        <w:rPr>
          <w:bCs/>
        </w:rPr>
      </w:pPr>
    </w:p>
    <w:p w:rsidRDefault="00151F33" w:rsidP="00151F33" w:rsidR="00151F33">
      <w:pPr>
        <w:jc w:val="both"/>
        <w:rPr>
          <w:bCs/>
        </w:rPr>
      </w:pPr>
    </w:p>
    <w:p w:rsidRDefault="00151F33" w:rsidP="00151F33" w:rsidR="00151F33">
      <w:pPr>
        <w:jc w:val="both"/>
        <w:rPr>
          <w:bCs/>
        </w:rPr>
      </w:pPr>
    </w:p>
    <w:p w:rsidRDefault="00151F33" w:rsidP="00151F33" w:rsidR="00151F33">
      <w:pPr>
        <w:jc w:val="both"/>
        <w:rPr>
          <w:bCs/>
        </w:rPr>
      </w:pPr>
      <w:r>
        <w:rPr>
          <w:bCs/>
        </w:rPr>
        <w:t xml:space="preserve">Split, </w:t>
      </w:r>
      <w:r>
        <w:t>05. srpnja 2017</w:t>
      </w:r>
      <w:r>
        <w:rPr>
          <w:bCs/>
        </w:rPr>
        <w:t>.</w:t>
      </w:r>
    </w:p>
    <w:p w:rsidRDefault="00151F33" w:rsidP="00151F33" w:rsidR="00151F33">
      <w:pPr>
        <w:pStyle w:val="Bezproreda"/>
      </w:pPr>
      <w:r>
        <w:t xml:space="preserve">                                                                                     S U D A C:</w:t>
      </w:r>
    </w:p>
    <w:p w:rsidRDefault="00151F33" w:rsidP="00151F33" w:rsidR="00151F33">
      <w:pPr>
        <w:pStyle w:val="Bezproreda"/>
      </w:pPr>
    </w:p>
    <w:p w:rsidRDefault="00151F33" w:rsidP="00151F33" w:rsidR="00AE649C" w:rsidRPr="00B76F3C">
      <w:pPr>
        <w:pStyle w:val="Bezproreda"/>
      </w:pPr>
      <w: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1F33"/>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71776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St-533/2011-281</izvorni_sadrzaj>
    <derivirana_varijabla naziv="DomainObject.Oznaka_1">St-533/2011-281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2011.</izvorni_sadrzaj>
    <derivirana_varijabla naziv="DomainObject.Predmet.DatumOsnivanja_1">27. srpnja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St-533/2011</izvorni_sadrzaj>
    <derivirana_varijabla naziv="DomainObject.Predmet.OznakaBroj_1">St-533/2011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PODOVI, društvo s ograničenom odgovornošću za građenje "u stečaju"</izvorni_sadrzaj>
    <derivirana_varijabla naziv="DomainObject.Predmet.ProtustrankaFormated_1">  PODOVI, društvo s ograničenom odgovornošću za građenje "u stečaju"</derivirana_varijabla>
  </DomainObject.Predmet.ProtustrankaFormated>
  <DomainObject.Predmet.ProtustrankaFormatedOIB>
    <izvorni_sadrzaj>  PODOVI, društvo s ograničenom odgovornošću za građenje "u stečaju", OIB 69976343666</izvorni_sadrzaj>
    <derivirana_varijabla naziv="DomainObject.Predmet.ProtustrankaFormatedOIB_1">  PODOVI, društvo s ograničenom odgovornošću za građenje "u stečaju", OIB 69976343666</derivirana_varijabla>
  </DomainObject.Predmet.ProtustrankaFormatedOIB>
  <DomainObject.Predmet.ProtustrankaFormatedWithAdress>
    <izvorni_sadrzaj> PODOVI, društvo s ograničenom odgovornošću za građenje "u stečaju", Trondheimska 4/D, 21000 Split</izvorni_sadrzaj>
    <derivirana_varijabla naziv="DomainObject.Predmet.ProtustrankaFormatedWithAdress_1"> PODOVI, društvo s ograničenom odgovornošću za građenje "u stečaju", Trondheimska 4/D, 21000 Split</derivirana_varijabla>
  </DomainObject.Predmet.ProtustrankaFormatedWithAdress>
  <DomainObject.Predmet.ProtustrankaFormatedWithAdressOIB>
    <izvorni_sadrzaj> PODOVI, društvo s ograničenom odgovornošću za građenje "u stečaju", OIB 69976343666, Trondheimska 4/D, 21000 Split</izvorni_sadrzaj>
    <derivirana_varijabla naziv="DomainObject.Predmet.ProtustrankaFormatedWithAdressOIB_1"> PODOVI, društvo s ograničenom odgovornošću za građenje "u stečaju", OIB 69976343666, Trondheimska 4/D, 21000 Split</derivirana_varijabla>
  </DomainObject.Predmet.ProtustrankaFormatedWithAdressOIB>
  <DomainObject.Predmet.ProtustrankaWithAdress>
    <izvorni_sadrzaj>PODOVI, društvo s ograničenom odgovornošću za građenje "u stečaju" Trondheimska 4/D, 21000 Split</izvorni_sadrzaj>
    <derivirana_varijabla naziv="DomainObject.Predmet.ProtustrankaWithAdress_1">PODOVI, društvo s ograničenom odgovornošću za građenje "u stečaju" Trondheimska 4/D, 21000 Split</derivirana_varijabla>
  </DomainObject.Predmet.ProtustrankaWithAdress>
  <DomainObject.Predmet.ProtustrankaWithAdressOIB>
    <izvorni_sadrzaj>PODOVI, društvo s ograničenom odgovornošću za građenje "u stečaju", OIB 69976343666, Trondheimska 4/D, 21000 Split</izvorni_sadrzaj>
    <derivirana_varijabla naziv="DomainObject.Predmet.ProtustrankaWithAdressOIB_1">PODOVI, društvo s ograničenom odgovornošću za građenje "u stečaju", OIB 69976343666, Trondheimska 4/D, 21000 Split</derivirana_varijabla>
  </DomainObject.Predmet.ProtustrankaWithAdressOIB>
  <DomainObject.Predmet.ProtustrankaNazivFormated>
    <izvorni_sadrzaj>PODOVI, društvo s ograničenom odgovornošću za građenje "u stečaju"</izvorni_sadrzaj>
    <derivirana_varijabla naziv="DomainObject.Predmet.ProtustrankaNazivFormated_1">PODOVI, društvo s ograničenom odgovornošću za građenje "u stečaju"</derivirana_varijabla>
  </DomainObject.Predmet.ProtustrankaNazivFormated>
  <DomainObject.Predmet.ProtustrankaNazivFormatedOIB>
    <izvorni_sadrzaj>PODOVI, društvo s ograničenom odgovornošću za građenje "u stečaju", OIB 69976343666</izvorni_sadrzaj>
    <derivirana_varijabla naziv="DomainObject.Predmet.ProtustrankaNazivFormatedOIB_1">PODOVI, društvo s ograničenom odgovornošću za građenje "u stečaju", OIB 69976343666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zastupanog po punomoćniku Odvjetničko društvo Leko i partneri društvo s ograničenom odgovornošću</izvorni_sadrzaj>
    <derivirana_varijabla naziv="DomainObject.Predmet.StrankaFormated_1">  PRIVREDNA BANKA ZAGREB d.d. zastupanog po punomoćniku Odvjetničko društvo Leko i partneri društvo s ograničenom odgovornošću</derivirana_varijabla>
  </DomainObject.Predmet.StrankaFormated>
  <DomainObject.Predmet.StrankaFormatedOIB>
    <izvorni_sadrzaj>  PRIVREDNA BANKA ZAGREB d.d., OIB 02535697732 zastupanog po punomoćniku Odvjetničko društvo Leko i partneri društvo s ograničenom odgovornošću</izvorni_sadrzaj>
    <derivirana_varijabla naziv="DomainObject.Predmet.StrankaFormatedOIB_1">  PRIVREDNA BANKA ZAGREB d.d., OIB 02535697732 zastupanog po punomoćniku Odvjetničko društvo Leko i partneri društvo s ograničenom odgovornošću</derivirana_varijabla>
  </DomainObject.Predmet.StrankaFormatedOIB>
  <DomainObject.Predmet.StrankaFormatedWithAdress>
    <izvorni_sadrzaj> PRIVREDNA BANKA ZAGREB d.d., Račkoga 6, 10000 Zagreb zastupanog po punomoćniku Odvjetničko društvo Leko i partneri društvo s ograničenom odgovornošću</izvorni_sadrzaj>
    <derivirana_varijabla naziv="DomainObject.Predmet.StrankaFormatedWithAdress_1"> PRIVREDNA BANKA ZAGREB d.d., Račkoga 6, 10000 Zagreb zastupanog po punomoćniku Odvjetničko društvo Leko i partneri društvo s ograničenom odgovornošću</derivirana_varijabla>
  </DomainObject.Predmet.StrankaFormatedWithAdress>
  <DomainObject.Predmet.StrankaFormatedWithAdressOIB>
    <izvorni_sadrzaj> PRIVREDNA BANKA ZAGREB d.d., OIB 02535697732, Račkoga 6, 10000 Zagreb zastupanog po punomoćniku Odvjetničko društvo Leko i partneri društvo s ograničenom odgovornošću</izvorni_sadrzaj>
    <derivirana_varijabla naziv="DomainObject.Predmet.StrankaFormatedWithAdressOIB_1"> PRIVREDNA BANKA ZAGREB d.d., OIB 02535697732, Račkoga 6, 10000 Zagreb zastupanog po punomoćniku Odvjetničko društvo Leko i partneri društvo s ograničenom odgovornošću</derivirana_varijabla>
  </DomainObject.Predmet.StrankaFormatedWithAdressOIB>
  <DomainObject.Predmet.StrankaWithAdress>
    <izvorni_sadrzaj>PRIVREDNA BANKA ZAGREB d.d. Račkoga 6,10000 Zagreb</izvorni_sadrzaj>
    <derivirana_varijabla naziv="DomainObject.Predmet.StrankaWithAdress_1">PRIVREDNA BANKA ZAGREB d.d. Račkoga 6,10000 Zagreb</derivirana_varijabla>
  </DomainObject.Predmet.StrankaWithAdress>
  <DomainObject.Predmet.StrankaWithAdressOIB>
    <izvorni_sadrzaj>PRIVREDNA BANKA ZAGREB d.d., OIB 02535697732, Račkoga 6,10000 Zagreb</izvorni_sadrzaj>
    <derivirana_varijabla naziv="DomainObject.Predmet.StrankaWithAdressOIB_1">PRIVREDNA BANKA ZAGREB d.d., OIB 02535697732, Račkoga 6,10000 Zagreb</derivirana_varijabla>
  </DomainObject.Predmet.StrankaWithAdressOIB>
  <DomainObject.Predmet.StrankaNazivFormated>
    <izvorni_sadrzaj>PRIVREDNA BANKA ZAGREB d.d.</izvorni_sadrzaj>
    <derivirana_varijabla naziv="DomainObject.Predmet.StrankaNazivFormated_1">PRIVREDNA BANKA ZAGREB d.d.</derivirana_varijabla>
  </DomainObject.Predmet.StrankaNazivFormated>
  <DomainObject.Predmet.StrankaNazivFormatedOIB>
    <izvorni_sadrzaj>PRIVREDNA BANKA ZAGREB d.d., OIB 02535697732</izvorni_sadrzaj>
    <derivirana_varijabla naziv="DomainObject.Predmet.StrankaNazivFormatedOIB_1">PRIVREDNA BANKA ZAGREB d.d.,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3908865.72</izvorni_sadrzaj>
    <derivirana_varijabla naziv="DomainObject.Predmet.TrenutnaVrijednost_1">3908865.72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PRIVREDNA BANKA ZAGREB d.d. zastupanog po punomoćniku Odvjetničko društvo Leko i partneri društvo s ograničenom odgovornošću</item>
    </izvorni_sadrzaj>
    <derivirana_varijabla naziv="DomainObject.Predmet.StrankaListFormated_1">
      <item>PRIVREDNA BANKA ZAGREB d.d. zastupanog po punomoćniku Odvjetničko društvo Leko i partneri društvo s ograničenom odgovornošću</item>
    </derivirana_varijabla>
  </DomainObject.Predmet.StrankaListFormated>
  <DomainObject.Predmet.StrankaListFormatedOIB>
    <izvorni_sadrzaj>
      <item>PRIVREDNA BANKA ZAGREB d.d., OIB 02535697732 zastupanog po punomoćniku Odvjetničko društvo Leko i partneri društvo s ograničenom odgovornošću</item>
    </izvorni_sadrzaj>
    <derivirana_varijabla naziv="DomainObject.Predmet.StrankaListFormatedOIB_1">
      <item>PRIVREDNA BANKA ZAGREB d.d., OIB 02535697732 zastupanog po punomoćniku Odvjetničko društvo Leko i partneri društvo s ograničenom odgovornošću</item>
    </derivirana_varijabla>
  </DomainObject.Predmet.StrankaListFormatedOIB>
  <DomainObject.Predmet.StrankaListFormatedWithAdress>
    <izvorni_sadrzaj>
      <item>PRIVREDNA BANKA ZAGREB d.d., Račkoga 6, 10000 Zagreb zastupanog po punomoćniku Odvjetničko društvo Leko i partneri društvo s ograničenom odgovornošću</item>
    </izvorni_sadrzaj>
    <derivirana_varijabla naziv="DomainObject.Predmet.StrankaListFormatedWithAdress_1">
      <item>PRIVREDNA BANKA ZAGREB d.d., Račkoga 6, 10000 Zagreb zastupanog po punomoćniku Odvjetničko društvo Leko i partneri društvo s ograničenom odgovornošću</item>
    </derivirana_varijabla>
  </DomainObject.Predmet.StrankaListFormatedWithAdress>
  <DomainObject.Predmet.StrankaListFormatedWithAdressOIB>
    <izvorni_sadrzaj>
      <item>PRIVREDNA BANKA ZAGREB d.d., OIB 02535697732, Račkoga 6, 10000 Zagreb zastupanog po punomoćniku Odvjetničko društvo Leko i partneri društvo s ograničenom odgovornošću</item>
    </izvorni_sadrzaj>
    <derivirana_varijabla naziv="DomainObject.Predmet.StrankaListFormatedWithAdressOIB_1">
      <item>PRIVREDNA BANKA ZAGREB d.d., OIB 02535697732, Račkoga 6, 10000 Zagreb zastupanog po punomoćniku Odvjetničko društvo Leko i partneri društvo s ograničenom odgovornošću</item>
    </derivirana_varijabla>
  </DomainObject.Predmet.StrankaListFormatedWithAdressOIB>
  <DomainObject.Predmet.StrankaListNazivFormated>
    <izvorni_sadrzaj>
      <item>PRIVREDNA BANKA ZAGREB d.d.</item>
    </izvorni_sadrzaj>
    <derivirana_varijabla naziv="DomainObject.Predmet.StrankaListNazivFormated_1">
      <item>PRIVREDNA BANKA ZAGREB d.d.</item>
    </derivirana_varijabla>
  </DomainObject.Predmet.StrankaListNazivFormated>
  <DomainObject.Predmet.StrankaListNazivFormatedOIB>
    <izvorni_sadrzaj>
      <item>PRIVREDNA BANKA ZAGREB d.d., OIB 02535697732</item>
    </izvorni_sadrzaj>
    <derivirana_varijabla naziv="DomainObject.Predmet.StrankaListNazivFormatedOIB_1">
      <item>PRIVREDNA BANKA ZAGREB d.d., OIB 02535697732</item>
    </derivirana_varijabla>
  </DomainObject.Predmet.StrankaListNazivFormatedOIB>
  <DomainObject.Predmet.ProtuStrankaListFormated>
    <izvorni_sadrzaj>
      <item>PODOVI, društvo s ograničenom odgovornošću za građenje "u stečaju"</item>
    </izvorni_sadrzaj>
    <derivirana_varijabla naziv="DomainObject.Predmet.ProtuStrankaListFormated_1">
      <item>PODOVI, društvo s ograničenom odgovornošću za građenje "u stečaju"</item>
    </derivirana_varijabla>
  </DomainObject.Predmet.ProtuStrankaListFormated>
  <DomainObject.Predmet.ProtuStrankaListFormatedOIB>
    <izvorni_sadrzaj>
      <item>PODOVI, društvo s ograničenom odgovornošću za građenje "u stečaju", OIB 69976343666</item>
    </izvorni_sadrzaj>
    <derivirana_varijabla naziv="DomainObject.Predmet.ProtuStrankaListFormatedOIB_1">
      <item>PODOVI, društvo s ograničenom odgovornošću za građenje "u stečaju", OIB 69976343666</item>
    </derivirana_varijabla>
  </DomainObject.Predmet.ProtuStrankaListFormatedOIB>
  <DomainObject.Predmet.ProtuStrankaListFormatedWithAdress>
    <izvorni_sadrzaj>
      <item>PODOVI, društvo s ograničenom odgovornošću za građenje "u stečaju", Trondheimska 4/D, 21000 Split</item>
    </izvorni_sadrzaj>
    <derivirana_varijabla naziv="DomainObject.Predmet.ProtuStrankaListFormatedWithAdress_1">
      <item>PODOVI, društvo s ograničenom odgovornošću za građenje "u stečaju", Trondheimska 4/D, 21000 Split</item>
    </derivirana_varijabla>
  </DomainObject.Predmet.ProtuStrankaListFormatedWithAdress>
  <DomainObject.Predmet.ProtuStrankaListFormatedWithAdressOIB>
    <izvorni_sadrzaj>
      <item>PODOVI, društvo s ograničenom odgovornošću za građenje "u stečaju", OIB 69976343666, Trondheimska 4/D, 21000 Split</item>
    </izvorni_sadrzaj>
    <derivirana_varijabla naziv="DomainObject.Predmet.ProtuStrankaListFormatedWithAdressOIB_1">
      <item>PODOVI, društvo s ograničenom odgovornošću za građenje "u stečaju", OIB 69976343666, Trondheimska 4/D, 21000 Split</item>
    </derivirana_varijabla>
  </DomainObject.Predmet.ProtuStrankaListFormatedWithAdressOIB>
  <DomainObject.Predmet.ProtuStrankaListNazivFormated>
    <izvorni_sadrzaj>
      <item>PODOVI, društvo s ograničenom odgovornošću za građenje "u stečaju"</item>
    </izvorni_sadrzaj>
    <derivirana_varijabla naziv="DomainObject.Predmet.ProtuStrankaListNazivFormated_1">
      <item>PODOVI, društvo s ograničenom odgovornošću za građenje "u stečaju"</item>
    </derivirana_varijabla>
  </DomainObject.Predmet.ProtuStrankaListNazivFormated>
  <DomainObject.Predmet.ProtuStrankaListNazivFormatedOIB>
    <izvorni_sadrzaj>
      <item>PODOVI, društvo s ograničenom odgovornošću za građenje "u stečaju", OIB 69976343666</item>
    </izvorni_sadrzaj>
    <derivirana_varijabla naziv="DomainObject.Predmet.ProtuStrankaListNazivFormatedOIB_1">
      <item>PODOVI, društvo s ograničenom odgovornošću za građenje "u stečaju", OIB 69976343666</item>
    </derivirana_varijabla>
  </DomainObject.Predmet.ProtuStrankaListNazivFormatedOIB>
  <DomainObject.Predmet.OstaliListFormated>
    <izvorni_sadrzaj>
      <item>Odvjetničko društvo Leko i partneri društvo s ograničenom odgovornošću punomoćnik sudionika u postupku PRIVREDNA BANKA ZAGREB d.d.</item>
      <item>Marko Bitanga</item>
    </izvorni_sadrzaj>
    <derivirana_varijabla naziv="DomainObject.Predmet.OstaliListFormated_1">
      <item>Odvjetničko društvo Leko i partneri društvo s ograničenom odgovornošću punomoćnik sudionika u postupku PRIVREDNA BANKA ZAGREB d.d.</item>
      <item>Marko Bitanga</item>
    </derivirana_varijabla>
  </DomainObject.Predmet.OstaliListFormated>
  <DomainObject.Predmet.OstaliListFormatedOIB>
    <izvorni_sadrzaj>
      <item>Odvjetničko društvo Leko i partneri društvo s ograničenom odgovornošću, OIB 35913314365 punomoćnik sudionika u postupku PRIVREDNA BANKA ZAGREB d.d.</item>
      <item>Marko Bitanga, OIB 53393072664</item>
    </izvorni_sadrzaj>
    <derivirana_varijabla naziv="DomainObject.Predmet.OstaliListFormatedOIB_1">
      <item>Odvjetničko društvo Leko i partneri društvo s ograničenom odgovornošću, OIB 35913314365 punomoćnik sudionika u postupku PRIVREDNA BANKA ZAGREB d.d.</item>
      <item>Marko Bitanga, OIB 53393072664</item>
    </derivirana_varijabla>
  </DomainObject.Predmet.OstaliListFormatedOIB>
  <DomainObject.Predmet.OstaliListFormatedWithAdress>
    <izvorni_sadrzaj>
      <item>Odvjetničko društvo Leko i partneri društvo s ograničenom odgovornošću, Domagojeva 18, 10000 Zagreb punomoćnik sudionika u postupku PRIVREDNA BANKA ZAGREB d.d.</item>
      <item>Marko Bitanga, Radićeva 49, 21311 Podstrana</item>
    </izvorni_sadrzaj>
    <derivirana_varijabla naziv="DomainObject.Predmet.OstaliListFormatedWithAdress_1">
      <item>Odvjetničko društvo Leko i partneri društvo s ograničenom odgovornošću, Domagojeva 18, 10000 Zagreb punomoćnik sudionika u postupku PRIVREDNA BANKA ZAGREB d.d.</item>
      <item>Marko Bitanga, Radićeva 49, 21311 Podstrana</item>
    </derivirana_varijabla>
  </DomainObject.Predmet.OstaliListFormatedWithAdress>
  <DomainObject.Predmet.OstaliListFormatedWithAdressOIB>
    <izvorni_sadrzaj>
      <item>Odvjetničko društvo Leko i partneri društvo s ograničenom odgovornošću, OIB 35913314365, Domagojeva 18, 10000 Zagreb punomoćnik sudionika u postupku PRIVREDNA BANKA ZAGREB d.d.</item>
      <item>Marko Bitanga, OIB 53393072664, Radićeva 49, 21311 Podstrana</item>
    </izvorni_sadrzaj>
    <derivirana_varijabla naziv="DomainObject.Predmet.OstaliListFormatedWithAdressOIB_1">
      <item>Odvjetničko društvo Leko i partneri društvo s ograničenom odgovornošću, OIB 35913314365, Domagojeva 18, 10000 Zagreb punomoćnik sudionika u postupku PRIVREDNA BANKA ZAGREB d.d.</item>
      <item>Marko Bitanga, OIB 53393072664, Radićeva 49, 21311 Podstrana</item>
    </derivirana_varijabla>
  </DomainObject.Predmet.OstaliListFormatedWithAdressOIB>
  <DomainObject.Predmet.OstaliListNazivFormated>
    <izvorni_sadrzaj>
      <item>Odvjetničko društvo Leko i partneri društvo s ograničenom odgovornošću</item>
      <item>Marko Bitanga</item>
    </izvorni_sadrzaj>
    <derivirana_varijabla naziv="DomainObject.Predmet.OstaliListNazivFormated_1">
      <item>Odvjetničko društvo Leko i partneri društvo s ograničenom odgovornošću</item>
      <item>Marko Bitanga</item>
    </derivirana_varijabla>
  </DomainObject.Predmet.OstaliListNazivFormated>
  <DomainObject.Predmet.OstaliListNazivFormatedOIB>
    <izvorni_sadrzaj>
      <item>Odvjetničko društvo Leko i partneri društvo s ograničenom odgovornošću, OIB 35913314365</item>
      <item>Marko Bitanga, OIB 53393072664</item>
    </izvorni_sadrzaj>
    <derivirana_varijabla naziv="DomainObject.Predmet.OstaliListNazivFormatedOIB_1">
      <item>Odvjetničko društvo Leko i partneri društvo s ograničenom odgovornošću, OIB 35913314365</item>
      <item>Marko Bitanga, OIB 53393072664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St-533/2011-281</izvorni_sadrzaj>
    <derivirana_varijabla naziv="DomainObject.PoslovniBrojDokumenta_1">St-533/2011-281</derivirana_varijabla>
  </DomainObject.PoslovniBrojDokumenta>
  <DomainObject.Predmet.StrankaIDrugi>
    <izvorni_sadrzaj>PRIVREDNA BANKA ZAGREB d.d.</izvorni_sadrzaj>
    <derivirana_varijabla naziv="DomainObject.Predmet.StrankaIDrugi_1">PRIVREDNA BANKA ZAGREB d.d.</derivirana_varijabla>
  </DomainObject.Predmet.StrankaIDrugi>
  <DomainObject.Predmet.ProtustrankaIDrugi>
    <izvorni_sadrzaj>PODOVI, društvo s ograničenom odgovornošću za građenje "u stečaju"</izvorni_sadrzaj>
    <derivirana_varijabla naziv="DomainObject.Predmet.ProtustrankaIDrugi_1">PODOVI, društvo s ograničenom odgovornošću za građenje "u stečaju"</derivirana_varijabla>
  </DomainObject.Predmet.ProtustrankaIDrugi>
  <DomainObject.Predmet.StrankaIDrugiAdressOIB>
    <izvorni_sadrzaj>PRIVREDNA BANKA ZAGREB d.d., OIB 02535697732, Račkoga 6, 10000 Zagreb</izvorni_sadrzaj>
    <derivirana_varijabla naziv="DomainObject.Predmet.StrankaIDrugiAdressOIB_1">PRIVREDNA BANKA ZAGREB d.d., OIB 02535697732, Račkoga 6, 10000 Zagreb</derivirana_varijabla>
  </DomainObject.Predmet.StrankaIDrugiAdressOIB>
  <DomainObject.Predmet.ProtustrankaIDrugiAdressOIB>
    <izvorni_sadrzaj>PODOVI, društvo s ograničenom odgovornošću za građenje "u stečaju", OIB 69976343666, Trondheimska 4/D, 21000 Split</izvorni_sadrzaj>
    <derivirana_varijabla naziv="DomainObject.Predmet.ProtustrankaIDrugiAdressOIB_1">PODOVI, društvo s ograničenom odgovornošću za građenje "u stečaju", OIB 69976343666, Trondheimska 4/D,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PODOVI, društvo s ograničenom odgovornošću za građenje "u stečaju"</item>
      <item>Odvjetničko društvo Leko i partneri društvo s ograničenom odgovornošću</item>
      <item>PRIVREDNA BANKA ZAGREB d.d.</item>
      <item>Marko Bitanga</item>
    </izvorni_sadrzaj>
    <derivirana_varijabla naziv="DomainObject.Predmet.SudioniciListNaziv_1">
      <item>PODOVI, društvo s ograničenom odgovornošću za građenje "u stečaju"</item>
      <item>Odvjetničko društvo Leko i partneri društvo s ograničenom odgovornošću</item>
      <item>PRIVREDNA BANKA ZAGREB d.d.</item>
      <item>Marko Bitanga</item>
    </derivirana_varijabla>
  </DomainObject.Predmet.SudioniciListNaziv>
  <DomainObject.Predmet.SudioniciListAdressOIB>
    <izvorni_sadrzaj>
      <item>PODOVI, društvo s ograničenom odgovornošću za građenje "u stečaju", OIB 69976343666, Trondheimska 4/D,21000 Split</item>
      <item>Odvjetničko društvo Leko i partneri društvo s ograničenom odgovornošću, OIB 35913314365, Domagojeva 18,10000 Zagreb</item>
      <item>PRIVREDNA BANKA ZAGREB d.d., OIB 02535697732, Račkoga 6,10000 Zagreb</item>
      <item>Marko Bitanga, OIB 53393072664, Radićeva 49,21311 Podstrana</item>
    </izvorni_sadrzaj>
    <derivirana_varijabla naziv="DomainObject.Predmet.SudioniciListAdressOIB_1">
      <item>PODOVI, društvo s ograničenom odgovornošću za građenje "u stečaju", OIB 69976343666, Trondheimska 4/D,21000 Split</item>
      <item>Odvjetničko društvo Leko i partneri društvo s ograničenom odgovornošću, OIB 35913314365, Domagojeva 18,10000 Zagreb</item>
      <item>PRIVREDNA BANKA ZAGREB d.d., OIB 02535697732, Račkoga 6,10000 Zagreb</item>
      <item>Marko Bitanga, OIB 53393072664, Radićeva 49,21311 Podstrana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D5D975-A4AE-4B8B-B7BE-EA8ADC6544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1993</properties:Words>
  <properties:Characters>10632</properties:Characters>
  <properties:Lines>204</properties:Lines>
  <properties:Paragraphs>49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2017-07-05T08:54:00Z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St-533/2011-281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