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14bdc" w14:paraId="2514bdc" w:rsidRDefault="00E47E12" w:rsidP="00E47E12" w:rsidR="00E47E12">
      <w:pPr>
        <w15:collapsed w:val="false"/>
        <w:rPr>
          <w:rFonts w:cs="Times New Roman" w:eastAsia="Times New Roman"/>
          <w:szCs w:val="24"/>
          <w:lang w:eastAsia="hr-HR"/>
        </w:rPr>
      </w:pPr>
      <w:bookmarkStart w:name="_GoBack" w:id="0"/>
      <w:bookmarkEnd w:id="0"/>
      <w:r>
        <w:rPr>
          <w:rFonts w:cs="Times New Roman" w:eastAsia="Times New Roman"/>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47E12" w:rsidP="00E47E12" w:rsidR="00E47E12">
      <w:pPr>
        <w:jc w:val="both"/>
        <w:rPr>
          <w:rFonts w:cs="Times New Roman" w:eastAsia="Times New Roman"/>
          <w:szCs w:val="24"/>
          <w:lang w:eastAsia="hr-HR"/>
        </w:rPr>
      </w:pPr>
      <w:r>
        <w:rPr>
          <w:rFonts w:cs="Times New Roman" w:eastAsia="Times New Roman"/>
          <w:szCs w:val="24"/>
          <w:lang w:eastAsia="hr-HR"/>
        </w:rPr>
        <w:t xml:space="preserve">REPUBLIKA HRVATSKA                                                                             </w:t>
      </w:r>
    </w:p>
    <w:p w:rsidRDefault="00E47E12" w:rsidP="00E47E12" w:rsidR="00E47E12">
      <w:pPr>
        <w:jc w:val="both"/>
        <w:rPr>
          <w:rFonts w:cs="Times New Roman" w:eastAsia="Times New Roman"/>
          <w:szCs w:val="24"/>
          <w:lang w:eastAsia="hr-HR"/>
        </w:rPr>
      </w:pPr>
      <w:r>
        <w:rPr>
          <w:rFonts w:cs="Times New Roman" w:eastAsia="Times New Roman"/>
          <w:szCs w:val="24"/>
          <w:lang w:eastAsia="hr-HR"/>
        </w:rPr>
        <w:t>Trgovački sud u Zagrebu</w:t>
      </w:r>
    </w:p>
    <w:p w:rsidRDefault="00E47E12" w:rsidP="00E47E12" w:rsidR="00E47E12">
      <w:pPr>
        <w:jc w:val="both"/>
        <w:rPr>
          <w:rFonts w:cs="Times New Roman" w:eastAsia="Times New Roman"/>
          <w:szCs w:val="24"/>
          <w:lang w:eastAsia="hr-HR"/>
        </w:rPr>
      </w:pPr>
      <w:r>
        <w:rPr>
          <w:rFonts w:cs="Times New Roman" w:eastAsia="Times New Roman"/>
          <w:szCs w:val="24"/>
          <w:lang w:eastAsia="hr-HR"/>
        </w:rPr>
        <w:t>Zagreb, Amruševa 2/II</w:t>
      </w:r>
    </w:p>
    <w:p w:rsidRDefault="00E47E12" w:rsidP="00E47E12" w:rsidR="00E47E12">
      <w:pPr>
        <w:jc w:val="both"/>
        <w:rPr>
          <w:rFonts w:cs="Times New Roman" w:eastAsia="Times New Roman"/>
          <w:szCs w:val="24"/>
          <w:lang w:eastAsia="hr-HR"/>
        </w:rPr>
      </w:pPr>
    </w:p>
    <w:p w:rsidRDefault="00E47E12" w:rsidP="00E47E12" w:rsidR="00E47E12">
      <w:pPr>
        <w:ind w:firstLine="720"/>
        <w:jc w:val="right"/>
        <w:rPr>
          <w:rFonts w:cs="Times New Roman" w:eastAsia="Times New Roman"/>
          <w:szCs w:val="24"/>
          <w:lang w:eastAsia="hr-HR"/>
        </w:rPr>
      </w:pPr>
    </w:p>
    <w:p w:rsidRDefault="00E47E12" w:rsidP="00E47E12" w:rsidR="00E47E12">
      <w:pPr>
        <w:ind w:firstLine="720"/>
        <w:jc w:val="center"/>
        <w:rPr>
          <w:rFonts w:cs="Times New Roman" w:eastAsia="Times New Roman"/>
          <w:szCs w:val="24"/>
          <w:lang w:eastAsia="hr-HR"/>
        </w:rPr>
      </w:pPr>
      <w:r>
        <w:rPr>
          <w:rFonts w:cs="Times New Roman" w:eastAsia="Times New Roman"/>
          <w:szCs w:val="24"/>
          <w:lang w:eastAsia="hr-HR"/>
        </w:rPr>
        <w:t>R E P U B L I K A    H R V A T S K A</w:t>
      </w:r>
    </w:p>
    <w:p w:rsidRDefault="00E47E12" w:rsidP="00E47E12" w:rsidR="00E47E12">
      <w:pPr>
        <w:ind w:firstLine="720"/>
        <w:jc w:val="both"/>
        <w:rPr>
          <w:rFonts w:cs="Times New Roman" w:eastAsia="Times New Roman"/>
          <w:szCs w:val="24"/>
          <w:lang w:eastAsia="hr-HR"/>
        </w:rPr>
      </w:pPr>
    </w:p>
    <w:p w:rsidRDefault="00E47E12" w:rsidP="00E47E12" w:rsidR="00E47E12">
      <w:pPr>
        <w:ind w:firstLine="720"/>
        <w:jc w:val="center"/>
        <w:rPr>
          <w:rFonts w:cs="Times New Roman" w:eastAsia="Times New Roman"/>
          <w:szCs w:val="24"/>
          <w:lang w:eastAsia="hr-HR"/>
        </w:rPr>
      </w:pPr>
      <w:r>
        <w:rPr>
          <w:rFonts w:cs="Times New Roman" w:eastAsia="Times New Roman"/>
          <w:szCs w:val="24"/>
          <w:lang w:eastAsia="hr-HR"/>
        </w:rPr>
        <w:t>R J E Š E N J E</w:t>
      </w:r>
    </w:p>
    <w:p w:rsidRDefault="00E47E12" w:rsidP="00E47E12" w:rsidR="00E47E12">
      <w:pPr>
        <w:ind w:firstLine="720"/>
        <w:jc w:val="both"/>
        <w:rPr>
          <w:rFonts w:cs="Times New Roman" w:eastAsia="Times New Roman"/>
          <w:szCs w:val="24"/>
          <w:lang w:eastAsia="hr-HR"/>
        </w:rPr>
      </w:pPr>
    </w:p>
    <w:p w:rsidRDefault="00E47E12" w:rsidP="00E47E12" w:rsidR="00E47E12">
      <w:pPr>
        <w:ind w:firstLine="720"/>
        <w:jc w:val="both"/>
        <w:rPr>
          <w:rFonts w:cs="Times New Roman" w:eastAsia="Times New Roman"/>
          <w:szCs w:val="24"/>
          <w:lang w:eastAsia="hr-HR"/>
        </w:rPr>
      </w:pPr>
    </w:p>
    <w:p w:rsidRDefault="00E47E12" w:rsidP="00E47E12" w:rsidR="00E47E12">
      <w:pPr>
        <w:ind w:firstLine="720"/>
        <w:jc w:val="both"/>
      </w:pPr>
      <w:r>
        <w:t xml:space="preserve">TRGOVAČKI SUD U ZAGREBU po sucu Mirjani Chour Hršak kao stečajnom sucu u stečajnom postupku nad STEČAJNA MASA iza stečajnog dužnika DAMCO d.o.o. u stečaju, Zagreb, Drenovačka 3, MBS: </w:t>
      </w:r>
      <w:r w:rsidRPr="00E9764D">
        <w:t>081141453, OIB: 86489364887</w:t>
      </w:r>
      <w:r>
        <w:t>, dana 03. travnja 2018. godine</w:t>
      </w:r>
    </w:p>
    <w:p w:rsidRDefault="00E47E12" w:rsidP="00E47E12" w:rsidR="00E47E12">
      <w:pPr>
        <w:ind w:firstLine="720"/>
        <w:jc w:val="both"/>
        <w:rPr>
          <w:rFonts w:cs="Times New Roman" w:eastAsia="Times New Roman"/>
          <w:szCs w:val="24"/>
          <w:lang w:eastAsia="hr-HR"/>
        </w:rPr>
      </w:pPr>
    </w:p>
    <w:p w:rsidRDefault="00E47E12" w:rsidP="00E47E12" w:rsidR="00E47E12">
      <w:pPr>
        <w:jc w:val="center"/>
        <w:rPr>
          <w:rFonts w:cs="Times New Roman" w:eastAsia="Times New Roman"/>
          <w:szCs w:val="24"/>
          <w:lang w:eastAsia="hr-HR"/>
        </w:rPr>
      </w:pPr>
      <w:r>
        <w:rPr>
          <w:rFonts w:cs="Times New Roman" w:eastAsia="Times New Roman"/>
          <w:szCs w:val="24"/>
          <w:lang w:eastAsia="hr-HR"/>
        </w:rPr>
        <w:t>r i j e š i o    j e</w:t>
      </w:r>
    </w:p>
    <w:p w:rsidRDefault="00E47E12" w:rsidP="00E47E12" w:rsidR="00E47E12">
      <w:pPr>
        <w:jc w:val="both"/>
        <w:rPr>
          <w:rFonts w:cs="Times New Roman" w:eastAsia="Times New Roman"/>
          <w:szCs w:val="24"/>
          <w:lang w:eastAsia="hr-HR"/>
        </w:rPr>
      </w:pPr>
    </w:p>
    <w:p w:rsidRDefault="00E47E12" w:rsidP="00E47E12" w:rsidR="00E47E12">
      <w:pPr>
        <w:numPr>
          <w:ilvl w:val="0"/>
          <w:numId w:val="1"/>
        </w:numPr>
        <w:ind w:hanging="720"/>
        <w:contextualSpacing/>
        <w:jc w:val="both"/>
        <w:rPr>
          <w:rFonts w:cs="Times New Roman" w:eastAsia="Times New Roman"/>
          <w:szCs w:val="24"/>
          <w:lang w:eastAsia="hr-HR"/>
        </w:rPr>
      </w:pPr>
      <w:r>
        <w:rPr>
          <w:rFonts w:cs="Times New Roman" w:eastAsia="Times New Roman"/>
          <w:szCs w:val="24"/>
          <w:lang w:eastAsia="hr-HR"/>
        </w:rPr>
        <w:t>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stečajne upraviteljice Antonie Selak, Zagreb, Drenovačka 3/III.</w:t>
      </w:r>
    </w:p>
    <w:p w:rsidRDefault="00E47E12" w:rsidP="00E47E12" w:rsidR="00E47E12">
      <w:pPr>
        <w:ind w:left="705"/>
        <w:jc w:val="both"/>
        <w:rPr>
          <w:rFonts w:cs="Times New Roman" w:eastAsia="Times New Roman"/>
          <w:szCs w:val="24"/>
          <w:lang w:eastAsia="hr-HR"/>
        </w:rPr>
      </w:pPr>
      <w:r>
        <w:rPr>
          <w:rFonts w:cs="Times New Roman" w:eastAsia="Times New Roman"/>
          <w:szCs w:val="24"/>
          <w:lang w:eastAsia="hr-HR"/>
        </w:rPr>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E47E12" w:rsidP="00E47E12" w:rsidR="00E47E12">
      <w:pPr>
        <w:ind w:left="705"/>
        <w:jc w:val="both"/>
        <w:rPr>
          <w:rFonts w:cs="Times New Roman" w:eastAsia="Times New Roman"/>
          <w:szCs w:val="24"/>
          <w:lang w:eastAsia="hr-HR"/>
        </w:rPr>
      </w:pPr>
      <w:r>
        <w:rPr>
          <w:rFonts w:cs="Times New Roman" w:eastAsia="Times New Roman"/>
          <w:szCs w:val="24"/>
          <w:lang w:eastAsia="hr-HR"/>
        </w:rPr>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E47E12" w:rsidP="00E47E12" w:rsidR="00E47E12">
      <w:pPr>
        <w:ind w:left="705"/>
        <w:jc w:val="both"/>
        <w:rPr>
          <w:rFonts w:cs="Times New Roman" w:eastAsia="Times New Roman"/>
          <w:szCs w:val="24"/>
          <w:lang w:eastAsia="hr-HR"/>
        </w:rPr>
      </w:pPr>
      <w:r>
        <w:rPr>
          <w:rFonts w:cs="Times New Roman" w:eastAsia="Times New Roman"/>
          <w:szCs w:val="24"/>
          <w:lang w:eastAsia="hr-HR"/>
        </w:rPr>
        <w:t>Prijavi tražbine je potrebno priložiti i potvrdu o uplaćenoj pristojbi prema tarifnom broju 23. st. 2.</w:t>
      </w:r>
    </w:p>
    <w:p w:rsidRDefault="00E47E12" w:rsidP="00E47E12" w:rsidR="00E47E12">
      <w:pPr>
        <w:ind w:left="705"/>
        <w:jc w:val="both"/>
        <w:rPr>
          <w:rFonts w:cs="Times New Roman" w:eastAsia="Times New Roman"/>
          <w:szCs w:val="24"/>
          <w:lang w:eastAsia="hr-HR"/>
        </w:rPr>
      </w:pPr>
    </w:p>
    <w:p w:rsidRDefault="00E47E12" w:rsidP="00E47E12" w:rsidR="00E47E12">
      <w:pPr>
        <w:ind w:hanging="705" w:left="705"/>
        <w:jc w:val="both"/>
        <w:rPr>
          <w:rFonts w:cs="Times New Roman" w:eastAsia="Times New Roman"/>
          <w:szCs w:val="24"/>
          <w:lang w:eastAsia="hr-HR"/>
        </w:rPr>
      </w:pPr>
      <w:r>
        <w:rPr>
          <w:rFonts w:cs="Times New Roman" w:eastAsia="Times New Roman"/>
          <w:bCs/>
          <w:szCs w:val="24"/>
          <w:lang w:eastAsia="hr-HR"/>
        </w:rPr>
        <w:t xml:space="preserve">2. </w:t>
      </w:r>
      <w:r>
        <w:rPr>
          <w:rFonts w:cs="Times New Roman" w:eastAsia="Times New Roman"/>
          <w:bCs/>
          <w:szCs w:val="24"/>
          <w:lang w:eastAsia="hr-HR"/>
        </w:rPr>
        <w:tab/>
      </w:r>
      <w:r>
        <w:rPr>
          <w:rFonts w:cs="Times New Roman" w:eastAsia="Times New Roman"/>
          <w:szCs w:val="24"/>
          <w:lang w:eastAsia="hr-HR"/>
        </w:rPr>
        <w:t xml:space="preserve">Razlučni vjerovnici dužni su obavijestiti stečajnog upravitelja o svom razlučnom pravu, pravnoj osnovi razlučnog prava i dijelu imovine stečajnog dužnika na koje se odnosi razlučno pravo. </w:t>
      </w:r>
    </w:p>
    <w:p w:rsidRDefault="00E47E12" w:rsidP="00E47E12" w:rsidR="00E47E12">
      <w:pPr>
        <w:ind w:firstLine="3" w:left="705"/>
        <w:jc w:val="both"/>
        <w:rPr>
          <w:rFonts w:cs="Times New Roman" w:eastAsia="Times New Roman"/>
          <w:szCs w:val="24"/>
          <w:lang w:eastAsia="hr-HR"/>
        </w:rPr>
      </w:pPr>
      <w:r>
        <w:rPr>
          <w:rFonts w:cs="Times New Roman" w:eastAsia="Times New Roman"/>
          <w:szCs w:val="24"/>
          <w:lang w:eastAsia="hr-HR"/>
        </w:rP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E47E12" w:rsidP="00E47E12" w:rsidR="00E47E12">
      <w:pPr>
        <w:ind w:firstLine="3" w:left="705"/>
        <w:jc w:val="both"/>
        <w:rPr>
          <w:rFonts w:cs="Times New Roman" w:eastAsia="Times New Roman"/>
          <w:szCs w:val="24"/>
          <w:lang w:eastAsia="hr-HR"/>
        </w:rPr>
      </w:pPr>
      <w:r>
        <w:rPr>
          <w:rFonts w:cs="Times New Roman" w:eastAsia="Times New Roman"/>
          <w:szCs w:val="24"/>
          <w:lang w:eastAsia="hr-HR"/>
        </w:rPr>
        <w:t xml:space="preserve">Razlučni vjerovnici koji nisu obavijestili stečajnog upravitelja o svom razlučnom pravu ne gube pravo odvojenog namirenja iz predmeta razlučnog prava. </w:t>
      </w:r>
    </w:p>
    <w:p w:rsidRDefault="00E47E12" w:rsidP="00E47E12" w:rsidR="00E47E12">
      <w:pPr>
        <w:ind w:firstLine="3" w:left="705"/>
        <w:jc w:val="both"/>
        <w:rPr>
          <w:rFonts w:cs="Times New Roman" w:eastAsia="Times New Roman"/>
          <w:szCs w:val="24"/>
          <w:lang w:eastAsia="hr-HR"/>
        </w:rPr>
      </w:pPr>
      <w:r>
        <w:rPr>
          <w:rFonts w:cs="Times New Roman" w:eastAsia="Times New Roman"/>
          <w:szCs w:val="24"/>
          <w:lang w:eastAsia="hr-HR"/>
        </w:rP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w:t>
      </w:r>
    </w:p>
    <w:p w:rsidRDefault="00E47E12" w:rsidP="00E47E12" w:rsidR="00E47E12">
      <w:pPr>
        <w:ind w:firstLine="3" w:left="705"/>
        <w:jc w:val="both"/>
        <w:rPr>
          <w:rFonts w:cs="Times New Roman" w:eastAsia="Times New Roman"/>
          <w:szCs w:val="24"/>
          <w:lang w:eastAsia="hr-HR"/>
        </w:rPr>
      </w:pPr>
    </w:p>
    <w:p w:rsidRDefault="00E47E12" w:rsidP="00E47E12" w:rsidR="00E47E12">
      <w:pPr>
        <w:jc w:val="both"/>
        <w:rPr>
          <w:rFonts w:cs="Times New Roman" w:eastAsia="Times New Roman"/>
          <w:szCs w:val="24"/>
          <w:lang w:eastAsia="hr-HR"/>
        </w:rPr>
      </w:pPr>
      <w:r>
        <w:rPr>
          <w:rFonts w:cs="Times New Roman" w:eastAsia="Times New Roman"/>
          <w:szCs w:val="24"/>
          <w:lang w:eastAsia="hr-HR"/>
        </w:rPr>
        <w:tab/>
        <w:t xml:space="preserve">nije bilo upisano u javnoj knjizi ili stečajni upravitelj za njega nije znao niti je morao znati. </w:t>
      </w:r>
    </w:p>
    <w:p w:rsidRDefault="00E47E12" w:rsidP="00E47E12" w:rsidR="00E47E12">
      <w:pPr>
        <w:ind w:firstLine="3" w:left="705"/>
        <w:jc w:val="both"/>
        <w:rPr>
          <w:rFonts w:cs="Times New Roman" w:eastAsia="Times New Roman"/>
          <w:szCs w:val="24"/>
          <w:lang w:eastAsia="hr-HR"/>
        </w:rPr>
      </w:pPr>
    </w:p>
    <w:p w:rsidRDefault="00E47E12" w:rsidP="00E47E12" w:rsidR="00E47E12">
      <w:pPr>
        <w:pStyle w:val="Odlomakpopisa"/>
        <w:numPr>
          <w:ilvl w:val="0"/>
          <w:numId w:val="2"/>
        </w:numPr>
        <w:ind w:hanging="709" w:left="709"/>
        <w:jc w:val="both"/>
        <w:rPr>
          <w:rFonts w:cs="Times New Roman" w:eastAsia="Times New Roman"/>
          <w:szCs w:val="24"/>
          <w:lang w:eastAsia="hr-HR"/>
        </w:rPr>
      </w:pPr>
      <w:r>
        <w:rPr>
          <w:rFonts w:cs="Times New Roman" w:eastAsia="Times New Roman"/>
          <w:szCs w:val="24"/>
          <w:lang w:eastAsia="hr-HR"/>
        </w:rPr>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E47E12" w:rsidP="00E47E12" w:rsidR="00E47E12">
      <w:pPr>
        <w:ind w:left="720"/>
        <w:contextualSpacing/>
        <w:jc w:val="both"/>
        <w:rPr>
          <w:rFonts w:cs="Times New Roman" w:eastAsia="Times New Roman"/>
          <w:szCs w:val="24"/>
          <w:lang w:eastAsia="hr-HR"/>
        </w:rPr>
      </w:pPr>
      <w:r>
        <w:rPr>
          <w:rFonts w:cs="Times New Roman" w:eastAsia="Times New Roman"/>
          <w:szCs w:val="24"/>
          <w:lang w:eastAsia="hr-HR"/>
        </w:rPr>
        <w:t xml:space="preserve"> </w:t>
      </w:r>
    </w:p>
    <w:p w:rsidRDefault="00E47E12" w:rsidP="00E47E12" w:rsidR="00E47E12">
      <w:pPr>
        <w:numPr>
          <w:ilvl w:val="0"/>
          <w:numId w:val="2"/>
        </w:numPr>
        <w:ind w:hanging="709" w:left="709"/>
        <w:contextualSpacing/>
        <w:jc w:val="both"/>
        <w:rPr>
          <w:rFonts w:cs="Times New Roman" w:eastAsia="Times New Roman"/>
          <w:szCs w:val="24"/>
          <w:lang w:eastAsia="hr-HR"/>
        </w:rPr>
      </w:pPr>
      <w:r>
        <w:rPr>
          <w:rFonts w:cs="Times New Roman" w:eastAsia="Times New Roman"/>
          <w:szCs w:val="24"/>
          <w:lang w:eastAsia="hr-HR"/>
        </w:rPr>
        <w:t xml:space="preserve">Pozivaju se dužnikovi dužnici da svoje obveze bez odgode ispunjavaju stečajnom upravitelju za stečajnog dužnika. </w:t>
      </w:r>
    </w:p>
    <w:p w:rsidRDefault="00E47E12" w:rsidP="00E47E12" w:rsidR="00E47E12">
      <w:pPr>
        <w:jc w:val="both"/>
        <w:rPr>
          <w:rFonts w:cs="Times New Roman" w:eastAsia="Times New Roman"/>
          <w:szCs w:val="24"/>
          <w:lang w:eastAsia="hr-HR"/>
        </w:rPr>
      </w:pPr>
    </w:p>
    <w:p w:rsidRDefault="00E47E12" w:rsidP="00E47E12" w:rsidR="00E47E12">
      <w:pPr>
        <w:numPr>
          <w:ilvl w:val="0"/>
          <w:numId w:val="2"/>
        </w:numPr>
        <w:ind w:hanging="709" w:left="709"/>
        <w:contextualSpacing/>
        <w:jc w:val="both"/>
        <w:rPr>
          <w:rFonts w:cs="Times New Roman" w:eastAsia="Times New Roman"/>
          <w:szCs w:val="24"/>
          <w:lang w:eastAsia="hr-HR"/>
        </w:rPr>
      </w:pPr>
      <w:r>
        <w:rPr>
          <w:rFonts w:cs="Times New Roman" w:eastAsia="Times New Roman"/>
          <w:szCs w:val="24"/>
          <w:lang w:eastAsia="hr-HR"/>
        </w:rPr>
        <w:t xml:space="preserve">Ročište vjerovnika na kojem se ispituju prijavljene tražbine - ispitno ročište određuje se za dan </w:t>
      </w:r>
      <w:r>
        <w:rPr>
          <w:rFonts w:cs="Times New Roman" w:eastAsia="Times New Roman"/>
          <w:szCs w:val="24"/>
          <w:u w:val="single"/>
          <w:lang w:eastAsia="hr-HR"/>
        </w:rPr>
        <w:t>10. srpnja 2018. godine u 11,00 sati</w:t>
      </w:r>
      <w:r>
        <w:rPr>
          <w:rFonts w:cs="Times New Roman" w:eastAsia="Times New Roman"/>
          <w:szCs w:val="24"/>
          <w:lang w:eastAsia="hr-HR"/>
        </w:rPr>
        <w:t>, a ročište na kojem će se na temelju izvješća stečajnog upravitelja odlučiti o daljnjem tijeku stečajnog postupka – izvještajno ročište određuje se za isti dan u 11,30 sati u prostorijama Trgovačkog suda u Zagrebu, Petrinjska 8, soba broj 39/II (dvorišna zgrada).</w:t>
      </w:r>
    </w:p>
    <w:p w:rsidRDefault="00E47E12" w:rsidP="00E47E12" w:rsidR="00E47E12">
      <w:pPr>
        <w:ind w:left="720"/>
        <w:contextualSpacing/>
        <w:rPr>
          <w:rFonts w:cs="Times New Roman" w:eastAsia="Times New Roman"/>
          <w:szCs w:val="24"/>
          <w:lang w:eastAsia="hr-HR"/>
        </w:rPr>
      </w:pPr>
    </w:p>
    <w:p w:rsidRDefault="00E47E12" w:rsidP="00E47E12" w:rsidR="00E47E12">
      <w:pPr>
        <w:numPr>
          <w:ilvl w:val="0"/>
          <w:numId w:val="2"/>
        </w:numPr>
        <w:ind w:hanging="709" w:left="709"/>
        <w:contextualSpacing/>
        <w:jc w:val="both"/>
        <w:rPr>
          <w:rFonts w:cs="Times New Roman" w:eastAsia="Times New Roman"/>
          <w:szCs w:val="24"/>
          <w:lang w:eastAsia="hr-HR"/>
        </w:rPr>
      </w:pPr>
      <w:r>
        <w:rPr>
          <w:rFonts w:cs="Times New Roman" w:eastAsia="Times New Roman"/>
          <w:szCs w:val="24"/>
          <w:lang w:eastAsia="hr-HR"/>
        </w:rPr>
        <w:t xml:space="preserve">Oglas o nastavku stečajnog postupka nad stečajnom masom istaknut je na e-Oglasnoj ploči ovog suda dana 21. prosinca 2017. godine. </w:t>
      </w:r>
    </w:p>
    <w:p w:rsidRDefault="00E47E12" w:rsidP="00E47E12" w:rsidR="00E47E12">
      <w:pPr>
        <w:ind w:left="720"/>
        <w:contextualSpacing/>
        <w:rPr>
          <w:rFonts w:cs="Times New Roman" w:eastAsia="Times New Roman"/>
          <w:szCs w:val="24"/>
          <w:lang w:eastAsia="hr-HR"/>
        </w:rPr>
      </w:pPr>
    </w:p>
    <w:p w:rsidRDefault="00E47E12" w:rsidP="00E47E12" w:rsidR="00E47E12">
      <w:pPr>
        <w:jc w:val="center"/>
        <w:rPr>
          <w:rFonts w:cs="Times New Roman" w:eastAsia="Times New Roman"/>
          <w:szCs w:val="24"/>
          <w:lang w:eastAsia="hr-HR"/>
        </w:rPr>
      </w:pPr>
      <w:r>
        <w:rPr>
          <w:rFonts w:cs="Times New Roman" w:eastAsia="Times New Roman"/>
          <w:szCs w:val="24"/>
          <w:lang w:eastAsia="hr-HR"/>
        </w:rPr>
        <w:t>Obrazloženje</w:t>
      </w:r>
    </w:p>
    <w:p w:rsidRDefault="00E47E12" w:rsidP="00E47E12" w:rsidR="00E47E12">
      <w:pPr>
        <w:rPr>
          <w:rFonts w:cs="Times New Roman" w:eastAsia="Times New Roman"/>
          <w:szCs w:val="24"/>
          <w:lang w:eastAsia="hr-HR"/>
        </w:rPr>
      </w:pPr>
    </w:p>
    <w:p w:rsidRDefault="00E47E12" w:rsidP="00E47E12" w:rsidR="00E47E12">
      <w:pPr>
        <w:ind w:firstLine="708"/>
        <w:jc w:val="both"/>
        <w:rPr>
          <w:rFonts w:cs="Times New Roman" w:eastAsia="Times New Roman"/>
          <w:szCs w:val="24"/>
          <w:lang w:eastAsia="hr-HR"/>
        </w:rPr>
      </w:pPr>
      <w:r>
        <w:rPr>
          <w:rFonts w:cs="Times New Roman" w:eastAsia="Times New Roman"/>
          <w:szCs w:val="24"/>
          <w:lang w:eastAsia="hr-HR"/>
        </w:rPr>
        <w:t xml:space="preserve">Predlagatelj FINA  podnijela je  ovom sudu prijedlog za provedbu skraćenog stečajnog postupka nad dužnikom </w:t>
      </w:r>
      <w:r>
        <w:t xml:space="preserve">DAMCO d.o.o. </w:t>
      </w:r>
      <w:r w:rsidR="007A529A">
        <w:t xml:space="preserve">za unutarnju i vanjsku trgovinu, </w:t>
      </w:r>
      <w:r>
        <w:t>Lipovljani, Braće Radić 13, MBS: 080142166</w:t>
      </w:r>
      <w:r w:rsidRPr="00E9764D">
        <w:t xml:space="preserve">, OIB: </w:t>
      </w:r>
      <w:r>
        <w:t>17662060359</w:t>
      </w:r>
      <w:r>
        <w:rPr>
          <w:rFonts w:cs="Times New Roman" w:eastAsia="Times New Roman"/>
          <w:szCs w:val="24"/>
          <w:lang w:eastAsia="hr-HR"/>
        </w:rPr>
        <w:t>, koji postupak je pravomoćno okončan rješenjem od 19. prosinca 2016. godine, a kojim se otvara i zaključuje stečaj nad dužnikom. Vjerovnik Republika Hrvatska, Ministarstvo financija, Porezna uprava, OIB: 18683136487, je izvjestio sud da dužnik ima imovinu koju je moguće unovčiti.</w:t>
      </w:r>
    </w:p>
    <w:p w:rsidRDefault="00E47E12" w:rsidP="00E47E12" w:rsidR="00E47E12">
      <w:pPr>
        <w:ind w:firstLine="708"/>
        <w:jc w:val="both"/>
        <w:rPr>
          <w:rFonts w:cs="Times New Roman" w:eastAsia="Times New Roman"/>
          <w:szCs w:val="24"/>
          <w:lang w:eastAsia="hr-HR"/>
        </w:rPr>
      </w:pPr>
      <w:r>
        <w:rPr>
          <w:rFonts w:cs="Times New Roman" w:eastAsia="Times New Roman"/>
          <w:szCs w:val="24"/>
          <w:lang w:eastAsia="hr-HR"/>
        </w:rPr>
        <w:t>Rješenjem od 11. prosinca 2017. godine određen je nastavak stečajnog postupka nad stečajnom masom, a istim rješenjem je imenovan i stečajni upravitelj.</w:t>
      </w:r>
    </w:p>
    <w:p w:rsidRDefault="00E47E12" w:rsidP="00E47E12" w:rsidR="00E47E12">
      <w:pPr>
        <w:jc w:val="both"/>
        <w:rPr>
          <w:rFonts w:cs="Times New Roman" w:eastAsia="Times New Roman"/>
          <w:bCs/>
          <w:szCs w:val="24"/>
          <w:lang w:eastAsia="hr-HR"/>
        </w:rPr>
      </w:pPr>
      <w:r>
        <w:rPr>
          <w:rFonts w:cs="Times New Roman" w:eastAsia="Times New Roman"/>
          <w:szCs w:val="24"/>
          <w:lang w:eastAsia="hr-HR"/>
        </w:rPr>
        <w:tab/>
        <w:t>Stečajni upravitelj je dostavio izvješće iz kojeg proizlazi da se ne protivi prijedlogu za otvaranje stečajnog postupka, te je naveo da dužnik ima imovinu koja bi bila dostatna za pokriće troškova otvorenog stečajnog postupka, a dužnik je nesposoban za plaćanje.</w:t>
      </w:r>
    </w:p>
    <w:p w:rsidRDefault="00E47E12" w:rsidP="00E47E12" w:rsidR="00E47E12">
      <w:pPr>
        <w:ind w:firstLine="708"/>
        <w:jc w:val="both"/>
        <w:rPr>
          <w:rFonts w:cs="Times New Roman" w:eastAsia="Times New Roman"/>
          <w:szCs w:val="24"/>
          <w:lang w:eastAsia="hr-HR"/>
        </w:rPr>
      </w:pPr>
      <w:r>
        <w:rPr>
          <w:rFonts w:cs="Times New Roman" w:eastAsia="Times New Roman"/>
          <w:szCs w:val="24"/>
          <w:lang w:eastAsia="hr-HR"/>
        </w:rPr>
        <w:t xml:space="preserve">Stoga je valjalo, temeljem istog članka, a u vezi sa čl. 128. i 129.  SZ-a riješiti kao u izreci. </w:t>
      </w:r>
    </w:p>
    <w:p w:rsidRDefault="00E47E12" w:rsidP="00E47E12" w:rsidR="00E47E12">
      <w:pPr>
        <w:jc w:val="both"/>
        <w:rPr>
          <w:rFonts w:cs="Times New Roman" w:eastAsia="Times New Roman"/>
          <w:szCs w:val="24"/>
          <w:lang w:eastAsia="hr-HR"/>
        </w:rPr>
      </w:pPr>
    </w:p>
    <w:p w:rsidRDefault="00E47E12" w:rsidP="00E47E12" w:rsidR="00E47E12">
      <w:pPr>
        <w:jc w:val="center"/>
        <w:rPr>
          <w:rFonts w:cs="Times New Roman" w:eastAsia="Times New Roman"/>
          <w:szCs w:val="24"/>
          <w:lang w:eastAsia="hr-HR"/>
        </w:rPr>
      </w:pPr>
      <w:r>
        <w:rPr>
          <w:rFonts w:cs="Times New Roman" w:eastAsia="Times New Roman"/>
          <w:szCs w:val="24"/>
          <w:lang w:eastAsia="hr-HR"/>
        </w:rPr>
        <w:t>Zagreb, 03. travnja 2018.</w:t>
      </w:r>
    </w:p>
    <w:p w:rsidRDefault="00E47E12" w:rsidP="00E47E12" w:rsidR="00E47E12">
      <w:pPr>
        <w:jc w:val="center"/>
        <w:rPr>
          <w:rFonts w:cs="Times New Roman" w:eastAsia="Times New Roman"/>
          <w:szCs w:val="24"/>
          <w:lang w:eastAsia="hr-HR"/>
        </w:rPr>
      </w:pPr>
    </w:p>
    <w:p w:rsidRDefault="00E47E12" w:rsidP="00E47E12" w:rsidR="00E47E12">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 xml:space="preserve">    </w:t>
      </w:r>
      <w:r>
        <w:rPr>
          <w:rFonts w:cs="Times New Roman" w:eastAsia="Times New Roman"/>
          <w:szCs w:val="24"/>
          <w:lang w:eastAsia="hr-HR"/>
        </w:rPr>
        <w:tab/>
        <w:t xml:space="preserve">    STEČAJNI SUDAC</w:t>
      </w:r>
    </w:p>
    <w:p w:rsidRDefault="00E47E12" w:rsidP="00E47E12" w:rsidR="00E47E12">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E47E12" w:rsidP="00E47E12" w:rsidR="00E47E12">
      <w:pPr>
        <w:jc w:val="right"/>
        <w:rPr>
          <w:rFonts w:cs="Times New Roman" w:eastAsia="Times New Roman"/>
          <w:szCs w:val="24"/>
          <w:lang w:eastAsia="hr-HR"/>
        </w:rPr>
      </w:pPr>
      <w:r>
        <w:rPr>
          <w:rFonts w:cs="Times New Roman" w:eastAsia="Times New Roman"/>
          <w:szCs w:val="24"/>
          <w:lang w:eastAsia="hr-HR"/>
        </w:rPr>
        <w:tab/>
        <w:t>MIRJANA CHOUR HRŠAK</w:t>
      </w:r>
      <w:r w:rsidR="00F92D10">
        <w:rPr>
          <w:rFonts w:cs="Times New Roman" w:eastAsia="Times New Roman"/>
          <w:szCs w:val="24"/>
          <w:lang w:eastAsia="hr-HR"/>
        </w:rPr>
        <w:t>, v.r.</w:t>
      </w:r>
    </w:p>
    <w:p w:rsidRDefault="00E47E12" w:rsidP="00E47E12" w:rsidR="00E47E12">
      <w:pPr>
        <w:rPr>
          <w:rFonts w:cs="Times New Roman" w:eastAsia="Times New Roman"/>
          <w:szCs w:val="24"/>
          <w:lang w:eastAsia="hr-HR"/>
        </w:rPr>
      </w:pPr>
    </w:p>
    <w:p w:rsidRDefault="00E47E12" w:rsidP="00E47E12" w:rsidR="00E47E12">
      <w:pPr>
        <w:jc w:val="both"/>
        <w:rPr>
          <w:rFonts w:cs="Times New Roman" w:eastAsia="Times New Roman"/>
          <w:szCs w:val="24"/>
          <w:lang w:eastAsia="hr-HR"/>
        </w:rPr>
      </w:pPr>
      <w:r>
        <w:rPr>
          <w:rFonts w:cs="Times New Roman" w:eastAsia="Times New Roman"/>
          <w:szCs w:val="24"/>
          <w:lang w:eastAsia="hr-HR"/>
        </w:rPr>
        <w:t>POUKA O PRAVNOM LIJEKU</w:t>
      </w:r>
    </w:p>
    <w:p w:rsidRDefault="00E47E12" w:rsidP="00E47E12" w:rsidR="00E47E12">
      <w:pPr>
        <w:jc w:val="both"/>
        <w:rPr>
          <w:rFonts w:cs="Times New Roman" w:eastAsia="Times New Roman"/>
          <w:szCs w:val="24"/>
          <w:lang w:eastAsia="hr-HR"/>
        </w:rPr>
      </w:pPr>
      <w:r>
        <w:rPr>
          <w:rFonts w:cs="Times New Roman" w:eastAsia="Times New Roman"/>
          <w:szCs w:val="24"/>
          <w:lang w:eastAsia="hr-HR"/>
        </w:rP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E47E12" w:rsidP="00E47E12" w:rsidR="00E47E12">
      <w:pPr>
        <w:ind w:left="360"/>
        <w:jc w:val="both"/>
        <w:rPr>
          <w:rFonts w:cs="Times New Roman" w:eastAsia="Times New Roman"/>
          <w:szCs w:val="24"/>
          <w:lang w:eastAsia="hr-HR"/>
        </w:rPr>
      </w:pPr>
    </w:p>
    <w:p w:rsidRDefault="00F92D10" w:rsidP="00E40762" w:rsidR="00F92D10">
      <w:pPr>
        <w:jc w:val="right"/>
        <w:rPr>
          <w:szCs w:val="24"/>
        </w:rPr>
      </w:pPr>
      <w:r>
        <w:rPr>
          <w:szCs w:val="24"/>
        </w:rPr>
        <w:t>Za točnost otpravka – ovlašteni službenik:</w:t>
      </w:r>
    </w:p>
    <w:p w:rsidRDefault="00F92D10" w:rsidP="00F92D10" w:rsidR="001E1F87">
      <w:pPr>
        <w:ind w:firstLine="708" w:left="3540"/>
        <w:jc w:val="center"/>
      </w:pPr>
      <w:r>
        <w:rPr>
          <w:szCs w:val="24"/>
        </w:rPr>
        <w:t xml:space="preserve">             Vlasta Bogović Milisavljević</w:t>
      </w:r>
    </w:p>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7E12" w:rsidP="00E47E12" w:rsidR="00E47E12">
      <w:r>
        <w:separator/>
      </w:r>
    </w:p>
  </w:endnote>
  <w:endnote w:id="0" w:type="continuationSeparator">
    <w:p w:rsidRDefault="00E47E12" w:rsidP="00E47E12" w:rsidR="00E47E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7E12" w:rsidP="00E47E12" w:rsidR="00E47E12">
      <w:r>
        <w:separator/>
      </w:r>
    </w:p>
  </w:footnote>
  <w:footnote w:id="0" w:type="continuationSeparator">
    <w:p w:rsidRDefault="00E47E12" w:rsidP="00E47E12" w:rsidR="00E47E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4559731"/>
      <w:docPartObj>
        <w:docPartGallery w:val="Page Numbers (Top of Page)"/>
        <w:docPartUnique/>
      </w:docPartObj>
    </w:sdtPr>
    <w:sdtEndPr/>
    <w:sdtContent>
      <w:p w:rsidRDefault="00E47E12" w:rsidR="00E47E12">
        <w:pPr>
          <w:pStyle w:val="Zaglavlje"/>
          <w:jc w:val="center"/>
        </w:pPr>
        <w:r>
          <w:fldChar w:fldCharType="begin"/>
        </w:r>
        <w:r>
          <w:instrText>PAGE   \* MERGEFORMAT</w:instrText>
        </w:r>
        <w:r>
          <w:fldChar w:fldCharType="separate"/>
        </w:r>
        <w:r w:rsidR="00F92D10">
          <w:rPr>
            <w:noProof/>
          </w:rPr>
          <w:t>1</w:t>
        </w:r>
        <w:r>
          <w:fldChar w:fldCharType="end"/>
        </w:r>
      </w:p>
    </w:sdtContent>
  </w:sdt>
  <w:p w:rsidRDefault="00E47E12" w:rsidP="00E47E12" w:rsidR="00E47E12">
    <w:pPr>
      <w:pStyle w:val="Zaglavlje"/>
      <w:jc w:val="right"/>
    </w:pPr>
    <w:r>
      <w:t>34. St-1501/2017-6</w:t>
    </w:r>
  </w:p>
  <w:p w:rsidRDefault="00E47E12" w:rsidP="00E47E12" w:rsidR="00E47E12" w:rsidRPr="00E47E12">
    <w:pPr>
      <w:tabs>
        <w:tab w:pos="4536" w:val="center"/>
        <w:tab w:pos="9072" w:val="right"/>
      </w:tabs>
      <w:jc w:val="right"/>
    </w:pPr>
    <w:r w:rsidRPr="00E47E12">
      <w:t>(ranije spis Trgovačkog suda u Osijeku</w:t>
    </w:r>
  </w:p>
  <w:p w:rsidRDefault="00E47E12" w:rsidP="00E47E12" w:rsidR="00E47E12" w:rsidRPr="00E47E12">
    <w:pPr>
      <w:tabs>
        <w:tab w:pos="4536" w:val="center"/>
        <w:tab w:pos="9072" w:val="right"/>
      </w:tabs>
      <w:jc w:val="right"/>
    </w:pPr>
    <w:r w:rsidRPr="00E47E12">
      <w:t>posl. br. St-2540/2016)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03463C51"/>
    <w:multiLevelType w:val="hybridMultilevel"/>
    <w:tmpl w:val="132251E0"/>
    <w:lvl w:tplc="9BA22112" w:ilvl="0">
      <w:start w:val="3"/>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
    <w:nsid w:val="2E7616B4"/>
    <w:multiLevelType w:val="hybridMultilevel"/>
    <w:tmpl w:val="B41AFA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7E12"/>
    <w:rsid w:val="00045FAF"/>
    <w:rsid w:val="0005710B"/>
    <w:rsid w:val="00096970"/>
    <w:rsid w:val="001033F0"/>
    <w:rsid w:val="00117BC5"/>
    <w:rsid w:val="00193FB6"/>
    <w:rsid w:val="001E1F87"/>
    <w:rsid w:val="002A523F"/>
    <w:rsid w:val="002F1388"/>
    <w:rsid w:val="00380484"/>
    <w:rsid w:val="003A5CA7"/>
    <w:rsid w:val="003C05E2"/>
    <w:rsid w:val="00431B33"/>
    <w:rsid w:val="004A164D"/>
    <w:rsid w:val="004E5A94"/>
    <w:rsid w:val="00586C62"/>
    <w:rsid w:val="005C31AA"/>
    <w:rsid w:val="00624600"/>
    <w:rsid w:val="00697A50"/>
    <w:rsid w:val="006B087F"/>
    <w:rsid w:val="00712582"/>
    <w:rsid w:val="0073291F"/>
    <w:rsid w:val="0078397D"/>
    <w:rsid w:val="007A529A"/>
    <w:rsid w:val="007F726F"/>
    <w:rsid w:val="008064D1"/>
    <w:rsid w:val="00854CB5"/>
    <w:rsid w:val="0085732A"/>
    <w:rsid w:val="0086702C"/>
    <w:rsid w:val="0087609D"/>
    <w:rsid w:val="008E6B30"/>
    <w:rsid w:val="009461D1"/>
    <w:rsid w:val="00AF40C4"/>
    <w:rsid w:val="00BA536C"/>
    <w:rsid w:val="00C60B87"/>
    <w:rsid w:val="00CF6257"/>
    <w:rsid w:val="00E37745"/>
    <w:rsid w:val="00E47E12"/>
    <w:rsid w:val="00EB7BCA"/>
    <w:rsid w:val="00ED46BF"/>
    <w:rsid w:val="00F03380"/>
    <w:rsid w:val="00F27AEA"/>
    <w:rsid w:val="00F92D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7E1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47E12"/>
    <w:pPr>
      <w:ind w:left="720"/>
      <w:contextualSpacing/>
    </w:pPr>
  </w:style>
  <w:style w:styleId="Tekstbalonia" w:type="paragraph">
    <w:name w:val="Balloon Text"/>
    <w:basedOn w:val="Normal"/>
    <w:link w:val="TekstbaloniaChar"/>
    <w:uiPriority w:val="99"/>
    <w:semiHidden/>
    <w:unhideWhenUsed/>
    <w:rsid w:val="00E47E1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7E12"/>
    <w:rPr>
      <w:rFonts w:cs="Tahoma" w:hAnsi="Tahoma" w:ascii="Tahoma"/>
      <w:sz w:val="16"/>
      <w:szCs w:val="16"/>
    </w:rPr>
  </w:style>
  <w:style w:styleId="Zaglavlje" w:type="paragraph">
    <w:name w:val="header"/>
    <w:basedOn w:val="Normal"/>
    <w:link w:val="ZaglavljeChar"/>
    <w:uiPriority w:val="99"/>
    <w:unhideWhenUsed/>
    <w:rsid w:val="00E47E12"/>
    <w:pPr>
      <w:tabs>
        <w:tab w:pos="4536" w:val="center"/>
        <w:tab w:pos="9072" w:val="right"/>
      </w:tabs>
    </w:pPr>
  </w:style>
  <w:style w:customStyle="true" w:styleId="ZaglavljeChar" w:type="character">
    <w:name w:val="Zaglavlje Char"/>
    <w:basedOn w:val="Zadanifontodlomka"/>
    <w:link w:val="Zaglavlje"/>
    <w:uiPriority w:val="99"/>
    <w:rsid w:val="00E47E12"/>
  </w:style>
  <w:style w:styleId="Podnoje" w:type="paragraph">
    <w:name w:val="footer"/>
    <w:basedOn w:val="Normal"/>
    <w:link w:val="PodnojeChar"/>
    <w:uiPriority w:val="99"/>
    <w:unhideWhenUsed/>
    <w:rsid w:val="00E47E12"/>
    <w:pPr>
      <w:tabs>
        <w:tab w:pos="4536" w:val="center"/>
        <w:tab w:pos="9072" w:val="right"/>
      </w:tabs>
    </w:pPr>
  </w:style>
  <w:style w:customStyle="true" w:styleId="PodnojeChar" w:type="character">
    <w:name w:val="Podnožje Char"/>
    <w:basedOn w:val="Zadanifontodlomka"/>
    <w:link w:val="Podnoje"/>
    <w:uiPriority w:val="99"/>
    <w:rsid w:val="00E47E12"/>
  </w:style>
  <w:style w:styleId="Tekstrezerviranogmjesta" w:type="character">
    <w:name w:val="Placeholder Text"/>
    <w:basedOn w:val="Zadanifontodlomka"/>
    <w:uiPriority w:val="99"/>
    <w:semiHidden/>
    <w:rsid w:val="00F92D10"/>
    <w:rPr>
      <w:color w:val="808080"/>
      <w:bdr w:space="0" w:sz="0" w:color="auto" w:val="none"/>
      <w:shd w:fill="auto" w:color="auto" w:val="clear"/>
    </w:rPr>
  </w:style>
  <w:style w:customStyle="true" w:styleId="eSPISCCParagraphDefaultFont" w:type="character">
    <w:name w:val="eSPIS_CC_Paragraph Default Font"/>
    <w:basedOn w:val="Zadanifontodlomka"/>
    <w:rsid w:val="00F92D1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92D10"/>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92D1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92D1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7E1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47E12"/>
    <w:pPr>
      <w:ind w:left="720"/>
      <w:contextualSpacing/>
    </w:pPr>
  </w:style>
  <w:style w:styleId="Tekstbalonia" w:type="paragraph">
    <w:name w:val="Balloon Text"/>
    <w:basedOn w:val="Normal"/>
    <w:link w:val="TekstbaloniaChar"/>
    <w:uiPriority w:val="99"/>
    <w:semiHidden/>
    <w:unhideWhenUsed/>
    <w:rsid w:val="00E47E12"/>
    <w:rPr>
      <w:rFonts w:ascii="Tahoma" w:cs="Tahoma" w:hAnsi="Tahoma"/>
      <w:sz w:val="16"/>
      <w:szCs w:val="16"/>
    </w:rPr>
  </w:style>
  <w:style w:customStyle="1" w:styleId="TekstbaloniaChar" w:type="character">
    <w:name w:val="Tekst balončića Char"/>
    <w:basedOn w:val="Zadanifontodlomka"/>
    <w:link w:val="Tekstbalonia"/>
    <w:uiPriority w:val="99"/>
    <w:semiHidden/>
    <w:rsid w:val="00E47E12"/>
    <w:rPr>
      <w:rFonts w:ascii="Tahoma" w:cs="Tahoma" w:hAnsi="Tahoma"/>
      <w:sz w:val="16"/>
      <w:szCs w:val="16"/>
    </w:rPr>
  </w:style>
  <w:style w:styleId="Zaglavlje" w:type="paragraph">
    <w:name w:val="header"/>
    <w:basedOn w:val="Normal"/>
    <w:link w:val="ZaglavljeChar"/>
    <w:uiPriority w:val="99"/>
    <w:unhideWhenUsed/>
    <w:rsid w:val="00E47E12"/>
    <w:pPr>
      <w:tabs>
        <w:tab w:pos="4536" w:val="center"/>
        <w:tab w:pos="9072" w:val="right"/>
      </w:tabs>
    </w:pPr>
  </w:style>
  <w:style w:customStyle="1" w:styleId="ZaglavljeChar" w:type="character">
    <w:name w:val="Zaglavlje Char"/>
    <w:basedOn w:val="Zadanifontodlomka"/>
    <w:link w:val="Zaglavlje"/>
    <w:uiPriority w:val="99"/>
    <w:rsid w:val="00E47E12"/>
  </w:style>
  <w:style w:styleId="Podnoje" w:type="paragraph">
    <w:name w:val="footer"/>
    <w:basedOn w:val="Normal"/>
    <w:link w:val="PodnojeChar"/>
    <w:uiPriority w:val="99"/>
    <w:unhideWhenUsed/>
    <w:rsid w:val="00E47E12"/>
    <w:pPr>
      <w:tabs>
        <w:tab w:pos="4536" w:val="center"/>
        <w:tab w:pos="9072" w:val="right"/>
      </w:tabs>
    </w:pPr>
  </w:style>
  <w:style w:customStyle="1" w:styleId="PodnojeChar" w:type="character">
    <w:name w:val="Podnožje Char"/>
    <w:basedOn w:val="Zadanifontodlomka"/>
    <w:link w:val="Podnoje"/>
    <w:uiPriority w:val="99"/>
    <w:rsid w:val="00E47E12"/>
  </w:style>
  <w:style w:styleId="Tekstrezerviranogmjesta" w:type="character">
    <w:name w:val="Placeholder Text"/>
    <w:basedOn w:val="Zadanifontodlomka"/>
    <w:uiPriority w:val="99"/>
    <w:semiHidden/>
    <w:rsid w:val="00F92D10"/>
    <w:rPr>
      <w:color w:val="808080"/>
      <w:bdr w:color="auto" w:space="0" w:sz="0" w:val="none"/>
      <w:shd w:color="auto" w:fill="auto" w:val="clear"/>
    </w:rPr>
  </w:style>
  <w:style w:customStyle="1" w:styleId="eSPISCCParagraphDefaultFont" w:type="character">
    <w:name w:val="eSPIS_CC_Paragraph Default Font"/>
    <w:basedOn w:val="Zadanifontodlomka"/>
    <w:rsid w:val="00F92D1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92D10"/>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92D1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92D1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8942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1501</izvorni_sadrzaj>
    <derivirana_varijabla naziv="DomainObject.Predmet.Broj_1">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St-1501/2017</izvorni_sadrzaj>
    <derivirana_varijabla naziv="DomainObject.Predmet.OznakaBroj_1">St-1501/2017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DAMCO d.o.o.u stečaju</izvorni_sadrzaj>
    <derivirana_varijabla naziv="DomainObject.Predmet.ProtustrankaFormated_1">  DAMCO d.o.o.u stečaju</derivirana_varijabla>
  </DomainObject.Predmet.ProtustrankaFormated>
  <DomainObject.Predmet.ProtustrankaFormatedOIB>
    <izvorni_sadrzaj>  DAMCO d.o.o.u stečaju, OIB 17662060359</izvorni_sadrzaj>
    <derivirana_varijabla naziv="DomainObject.Predmet.ProtustrankaFormatedOIB_1">  DAMCO d.o.o.u stečaju, OIB 17662060359</derivirana_varijabla>
  </DomainObject.Predmet.ProtustrankaFormatedOIB>
  <DomainObject.Predmet.ProtustrankaFormatedWithAdress>
    <izvorni_sadrzaj> DAMCO d.o.o.u stečaju, Braće Radić 13, 44322 Lipovljani</izvorni_sadrzaj>
    <derivirana_varijabla naziv="DomainObject.Predmet.ProtustrankaFormatedWithAdress_1"> DAMCO d.o.o.u stečaju, Braće Radić 13, 44322 Lipovljani</derivirana_varijabla>
  </DomainObject.Predmet.ProtustrankaFormatedWithAdress>
  <DomainObject.Predmet.ProtustrankaFormatedWithAdressOIB>
    <izvorni_sadrzaj> DAMCO d.o.o.u stečaju, OIB 17662060359, Braće Radić 13, 44322 Lipovljani</izvorni_sadrzaj>
    <derivirana_varijabla naziv="DomainObject.Predmet.ProtustrankaFormatedWithAdressOIB_1"> DAMCO d.o.o.u stečaju, OIB 17662060359, Braće Radić 13, 44322 Lipovljani</derivirana_varijabla>
  </DomainObject.Predmet.ProtustrankaFormatedWithAdressOIB>
  <DomainObject.Predmet.ProtustrankaWithAdress>
    <izvorni_sadrzaj>DAMCO d.o.o.u stečaju Braće Radić 13, 44322 Lipovljani</izvorni_sadrzaj>
    <derivirana_varijabla naziv="DomainObject.Predmet.ProtustrankaWithAdress_1">DAMCO d.o.o.u stečaju Braće Radić 13, 44322 Lipovljani</derivirana_varijabla>
  </DomainObject.Predmet.ProtustrankaWithAdress>
  <DomainObject.Predmet.ProtustrankaWithAdressOIB>
    <izvorni_sadrzaj>DAMCO d.o.o.u stečaju, OIB 17662060359, Braće Radić 13, 44322 Lipovljani</izvorni_sadrzaj>
    <derivirana_varijabla naziv="DomainObject.Predmet.ProtustrankaWithAdressOIB_1">DAMCO d.o.o.u stečaju, OIB 17662060359, Braće Radić 13, 44322 Lipovljani</derivirana_varijabla>
  </DomainObject.Predmet.ProtustrankaWithAdressOIB>
  <DomainObject.Predmet.ProtustrankaNazivFormated>
    <izvorni_sadrzaj>DAMCO d.o.o.u stečaju</izvorni_sadrzaj>
    <derivirana_varijabla naziv="DomainObject.Predmet.ProtustrankaNazivFormated_1">DAMCO d.o.o.u stečaju</derivirana_varijabla>
  </DomainObject.Predmet.ProtustrankaNazivFormated>
  <DomainObject.Predmet.ProtustrankaNazivFormatedOIB>
    <izvorni_sadrzaj>DAMCO d.o.o.u stečaju, OIB 17662060359</izvorni_sadrzaj>
    <derivirana_varijabla naziv="DomainObject.Predmet.ProtustrankaNazivFormatedOIB_1">DAMCO d.o.o.u stečaju, OIB 17662060359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fianacija, Porezna uprava zastupanog po punomoćniku Županijsko državno odvjetništvo u Osijeku</izvorni_sadrzaj>
    <derivirana_varijabla naziv="DomainObject.Predmet.StrankaFormated_1">  FINA Regionalni centar Zagreb; Republika Hrvatska, Ministarstvo fianacija, Porezna uprava zastupanog po punomoćniku Županijsko državno odvjetništvo u Osijeku</derivirana_varijabla>
  </DomainObject.Predmet.StrankaFormated>
  <DomainObject.Predmet.StrankaFormatedOIB>
    <izvorni_sadrzaj>  FINA Regionalni centar Zagreb, OIB 85821130368; Republika Hrvatska, Ministarstvo fianacija, Porezna uprava, OIB 18683136487 zastupanog po punomoćniku Županijsko državno odvjetništvo u Osijeku</izvorni_sadrzaj>
    <derivirana_varijabla naziv="DomainObject.Predmet.StrankaFormatedOIB_1">  FINA Regionalni centar Zagreb, OIB 85821130368; Republika Hrvatska, Ministarstvo fianacija, Porezna uprava, OIB 18683136487 zastupanog po punomoćniku Županijsko državno odvjetništvo u Osijeku</derivirana_varijabla>
  </DomainObject.Predmet.StrankaFormatedOIB>
  <DomainObject.Predmet.StrankaFormatedWithAdress>
    <izvorni_sadrzaj> FINA Regionalni centar Zagreb, Trg svibanjskih žrtava 1995. 1, 10000 Zagreb; Republika Hrvatska, Ministarstvo fianacija, Porezna uprava, Katančićeva 5, 10000 Zagreb zastupanog po punomoćniku Županijsko državno odvjetništvo u Osijeku</izvorni_sadrzaj>
    <derivirana_varijabla naziv="DomainObject.Predmet.StrankaFormatedWithAdress_1"> FINA Regionalni centar Zagreb, Trg svibanjskih žrtava 1995. 1, 10000 Zagreb; Republika Hrvatska, Ministarstvo fianacija, Porezna uprava, Katančićeva 5, 10000 Zagreb zastupanog po punomoćniku Županijsko državno odvjetništvo u Osijeku</derivirana_varijabla>
  </DomainObject.Predmet.StrankaFormatedWithAdress>
  <DomainObject.Predmet.StrankaFormatedWithAdressOIB>
    <izvorni_sadrzaj> FINA Regionalni centar Zagreb, OIB 85821130368, Trg svibanjskih žrtava 1995. 1, 10000 Zagreb; Republika Hrvatska, Ministarstvo fianacija, Porezna uprava, OIB 18683136487, Katančićeva 5, 10000 Zagreb zastupanog po punomoćniku Županijsko državno odvjetništvo u Osijeku</izvorni_sadrzaj>
    <derivirana_varijabla naziv="DomainObject.Predmet.StrankaFormatedWithAdressOIB_1"> FINA Regionalni centar Zagreb, OIB 85821130368, Trg svibanjskih žrtava 1995. 1, 10000 Zagreb; Republika Hrvatska, Ministarstvo fianacija, Porezna uprava, OIB 18683136487, Katančićeva 5, 10000 Zagreb zastupanog po punomoćniku Županijsko državno odvjetništvo u Osijeku</derivirana_varijabla>
  </DomainObject.Predmet.StrankaFormatedWithAdressOIB>
  <DomainObject.Predmet.StrankaWithAdress>
    <izvorni_sadrzaj>FINA Regionalni centar Zagreb Trg svibanjskih žrtava 1995. 1,10000 Zagreb,Republika Hrvatska, Ministarstvo fianacija, Porezna uprava Katančićeva 5,10000 Zagreb</izvorni_sadrzaj>
    <derivirana_varijabla naziv="DomainObject.Predmet.StrankaWithAdress_1">FINA Regionalni centar Zagreb Trg svibanjskih žrtava 1995. 1,10000 Zagreb,Republika Hrvatska, Ministarstvo fianacija, Porezna uprava Katančićeva 5,10000 Zagreb</derivirana_varijabla>
  </DomainObject.Predmet.StrankaWithAdress>
  <DomainObject.Predmet.StrankaWithAdressOIB>
    <izvorni_sadrzaj>FINA Regionalni centar Zagreb, OIB 85821130368, Trg svibanjskih žrtava 1995. 1,10000 Zagreb,Republika Hrvatska, Ministarstvo fianacija, Porezna uprava, OIB 18683136487, Katančićeva 5,10000 Zagreb</izvorni_sadrzaj>
    <derivirana_varijabla naziv="DomainObject.Predmet.StrankaWithAdressOIB_1">FINA Regionalni centar Zagreb, OIB 85821130368, Trg svibanjskih žrtava 1995. 1,10000 Zagreb,Republika Hrvatska, Ministarstvo fianacija, Porezna uprava, OIB 18683136487, Katančićeva 5,10000 Zagreb</derivirana_varijabla>
  </DomainObject.Predmet.StrankaWithAdressOIB>
  <DomainObject.Predmet.StrankaNazivFormated>
    <izvorni_sadrzaj>FINA Regionalni centar Zagreb,Republika Hrvatska, Ministarstvo fianacija, Porezna uprava</izvorni_sadrzaj>
    <derivirana_varijabla naziv="DomainObject.Predmet.StrankaNazivFormated_1">FINA Regionalni centar Zagreb,Republika Hrvatska, Ministarstvo fianacija, Porezna uprava</derivirana_varijabla>
  </DomainObject.Predmet.StrankaNazivFormated>
  <DomainObject.Predmet.StrankaNazivFormatedOIB>
    <izvorni_sadrzaj>FINA Regionalni centar Zagreb, OIB 85821130368,Republika Hrvatska, Ministarstvo fianacija, Porezna uprava, OIB 18683136487</izvorni_sadrzaj>
    <derivirana_varijabla naziv="DomainObject.Predmet.StrankaNazivFormatedOIB_1">FINA Regionalni centar Zagreb, OIB 85821130368,Republika Hrvatska, Ministarstvo fianacija,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Republika Hrvatska, Ministarstvo fianacija, Porezna uprava zastupanog po punomoćniku Županijsko državno odvjetništvo u Osijeku</item>
    </izvorni_sadrzaj>
    <derivirana_varijabla naziv="DomainObject.Predmet.StrankaListFormated_1">
      <item>FINA Regionalni centar Zagreb</item>
      <item>Republika Hrvatska, Ministarstvo fianacija, Porezna uprava zastupanog po punomoćniku Županijsko državno odvjetništvo u Osijeku</item>
    </derivirana_varijabla>
  </DomainObject.Predmet.StrankaListFormated>
  <DomainObject.Predmet.StrankaListFormatedOIB>
    <izvorni_sadrzaj>
      <item>FINA Regionalni centar Zagreb, OIB 85821130368</item>
      <item>Republika Hrvatska, Ministarstvo fianacija, Porezna uprava, OIB 18683136487 zastupanog po punomoćniku Županijsko državno odvjetništvo u Osijeku</item>
    </izvorni_sadrzaj>
    <derivirana_varijabla naziv="DomainObject.Predmet.StrankaListFormatedOIB_1">
      <item>FINA Regionalni centar Zagreb, OIB 85821130368</item>
      <item>Republika Hrvatska, Ministarstvo fianacija, Porezna uprava, OIB 18683136487 zastupanog po punomoćniku Županijsko državno odvjetništvo u Osijeku</item>
    </derivirana_varijabla>
  </DomainObject.Predmet.StrankaListFormatedOIB>
  <DomainObject.Predmet.StrankaListFormatedWithAdress>
    <izvorni_sadrzaj>
      <item>FINA Regionalni centar Zagreb, Trg svibanjskih žrtava 1995. 1, 10000 Zagreb</item>
      <item>Republika Hrvatska, Ministarstvo fianacija, Porezna uprava, Katančićeva 5, 10000 Zagreb zastupanog po punomoćniku Županijsko državno odvjetništvo u Osijeku</item>
    </izvorni_sadrzaj>
    <derivirana_varijabla naziv="DomainObject.Predmet.StrankaListFormatedWithAdress_1">
      <item>FINA Regionalni centar Zagreb, Trg svibanjskih žrtava 1995. 1, 10000 Zagreb</item>
      <item>Republika Hrvatska, Ministarstvo fianacija, Porezna uprava, Katančićeva 5, 10000 Zagreb zastupanog po punomoćniku Županijsko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fianacija, Porezna uprava, OIB 18683136487, Katančićeva 5, 10000 Zagreb zastupanog po punomoćniku Županijsko državno odvjetništvo u Osijeku</item>
    </izvorni_sadrzaj>
    <derivirana_varijabla naziv="DomainObject.Predmet.StrankaListFormatedWithAdressOIB_1">
      <item>FINA Regionalni centar Zagreb, OIB 85821130368, Trg svibanjskih žrtava 1995. 1, 10000 Zagreb</item>
      <item>Republika Hrvatska, Ministarstvo fianacija, Porezna uprava, OIB 18683136487, Katančićeva 5, 10000 Zagreb zastupanog po punomoćniku Županijsko državno odvjetništvo u Osijeku</item>
    </derivirana_varijabla>
  </DomainObject.Predmet.StrankaListFormatedWithAdressOIB>
  <DomainObject.Predmet.StrankaListNazivFormated>
    <izvorni_sadrzaj>
      <item>FINA Regionalni centar Zagreb</item>
      <item>Republika Hrvatska, Ministarstvo fianacija, Porezna uprava</item>
    </izvorni_sadrzaj>
    <derivirana_varijabla naziv="DomainObject.Predmet.StrankaListNazivFormated_1">
      <item>FINA Regionalni centar Zagreb</item>
      <item>Republika Hrvatska, Ministarstvo fianacija, Porezna uprava</item>
    </derivirana_varijabla>
  </DomainObject.Predmet.StrankaListNazivFormated>
  <DomainObject.Predmet.StrankaListNazivFormatedOIB>
    <izvorni_sadrzaj>
      <item>FINA Regionalni centar Zagreb, OIB 85821130368</item>
      <item>Republika Hrvatska, Ministarstvo fianacija, Porezna uprava, OIB 18683136487</item>
    </izvorni_sadrzaj>
    <derivirana_varijabla naziv="DomainObject.Predmet.StrankaListNazivFormatedOIB_1">
      <item>FINA Regionalni centar Zagreb, OIB 85821130368</item>
      <item>Republika Hrvatska, Ministarstvo fianacija, Porezna uprava, OIB 18683136487</item>
    </derivirana_varijabla>
  </DomainObject.Predmet.StrankaListNazivFormatedOIB>
  <DomainObject.Predmet.ProtuStrankaListFormated>
    <izvorni_sadrzaj>
      <item>DAMCO d.o.o.u stečaju</item>
    </izvorni_sadrzaj>
    <derivirana_varijabla naziv="DomainObject.Predmet.ProtuStrankaListFormated_1">
      <item>DAMCO d.o.o.u stečaju</item>
    </derivirana_varijabla>
  </DomainObject.Predmet.ProtuStrankaListFormated>
  <DomainObject.Predmet.ProtuStrankaListFormatedOIB>
    <izvorni_sadrzaj>
      <item>DAMCO d.o.o.u stečaju, OIB 17662060359</item>
    </izvorni_sadrzaj>
    <derivirana_varijabla naziv="DomainObject.Predmet.ProtuStrankaListFormatedOIB_1">
      <item>DAMCO d.o.o.u stečaju, OIB 17662060359</item>
    </derivirana_varijabla>
  </DomainObject.Predmet.ProtuStrankaListFormatedOIB>
  <DomainObject.Predmet.ProtuStrankaListFormatedWithAdress>
    <izvorni_sadrzaj>
      <item>DAMCO d.o.o.u stečaju, Braće Radić 13, 44322 Lipovljani</item>
    </izvorni_sadrzaj>
    <derivirana_varijabla naziv="DomainObject.Predmet.ProtuStrankaListFormatedWithAdress_1">
      <item>DAMCO d.o.o.u stečaju, Braće Radić 13, 44322 Lipovljani</item>
    </derivirana_varijabla>
  </DomainObject.Predmet.ProtuStrankaListFormatedWithAdress>
  <DomainObject.Predmet.ProtuStrankaListFormatedWithAdressOIB>
    <izvorni_sadrzaj>
      <item>DAMCO d.o.o.u stečaju, OIB 17662060359, Braće Radić 13, 44322 Lipovljani</item>
    </izvorni_sadrzaj>
    <derivirana_varijabla naziv="DomainObject.Predmet.ProtuStrankaListFormatedWithAdressOIB_1">
      <item>DAMCO d.o.o.u stečaju, OIB 17662060359, Braće Radić 13, 44322 Lipovljani</item>
    </derivirana_varijabla>
  </DomainObject.Predmet.ProtuStrankaListFormatedWithAdressOIB>
  <DomainObject.Predmet.ProtuStrankaListNazivFormated>
    <izvorni_sadrzaj>
      <item>DAMCO d.o.o.u stečaju</item>
    </izvorni_sadrzaj>
    <derivirana_varijabla naziv="DomainObject.Predmet.ProtuStrankaListNazivFormated_1">
      <item>DAMCO d.o.o.u stečaju</item>
    </derivirana_varijabla>
  </DomainObject.Predmet.ProtuStrankaListNazivFormated>
  <DomainObject.Predmet.ProtuStrankaListNazivFormatedOIB>
    <izvorni_sadrzaj>
      <item>DAMCO d.o.o.u stečaju, OIB 17662060359</item>
    </izvorni_sadrzaj>
    <derivirana_varijabla naziv="DomainObject.Predmet.ProtuStrankaListNazivFormatedOIB_1">
      <item>DAMCO d.o.o.u stečaju, OIB 17662060359</item>
    </derivirana_varijabla>
  </DomainObject.Predmet.ProtuStrankaListNazivFormatedOIB>
  <DomainObject.Predmet.OstaliListFormated>
    <izvorni_sadrzaj>
      <item>Županijsko državno odvjetništvo u Osijeku punomoćnik sudionika u postupku Republika Hrvatska, Ministarstvo fianacija, Porezna uprava</item>
    </izvorni_sadrzaj>
    <derivirana_varijabla naziv="DomainObject.Predmet.OstaliListFormated_1">
      <item>Županijsko državno odvjetništvo u Osijeku punomoćnik sudionika u postupku Republika Hrvatska, Ministarstvo fianacija, Porezna uprava</item>
    </derivirana_varijabla>
  </DomainObject.Predmet.OstaliListFormated>
  <DomainObject.Predmet.OstaliListFormatedOIB>
    <izvorni_sadrzaj>
      <item>Županijsko državno odvjetništvo u Osijeku, OIB 61379160880 punomoćnik sudionika u postupku Republika Hrvatska, Ministarstvo fianacija, Porezna uprava</item>
    </izvorni_sadrzaj>
    <derivirana_varijabla naziv="DomainObject.Predmet.OstaliListFormatedOIB_1">
      <item>Županijsko državno odvjetništvo u Osijeku, OIB 61379160880 punomoćnik sudionika u postupku Republika Hrvatska, Ministarstvo fianacija, Porezna uprava</item>
    </derivirana_varijabla>
  </DomainObject.Predmet.OstaliListFormatedOIB>
  <DomainObject.Predmet.OstaliListFormatedWithAdress>
    <izvorni_sadrzaj>
      <item>Županijsko državno odvjetništvo u Osijeku, Kapucinska 21, 31000 Osijek punomoćnik sudionika u postupku Republika Hrvatska, Ministarstvo fianacija, Porezna uprava</item>
    </izvorni_sadrzaj>
    <derivirana_varijabla naziv="DomainObject.Predmet.OstaliListFormatedWithAdress_1">
      <item>Županijsko državno odvjetništvo u Osijeku, Kapucinska 21, 31000 Osijek punomoćnik sudionika u postupku Republika Hrvatska, Ministarstvo fianacija, Porezna uprava</item>
    </derivirana_varijabla>
  </DomainObject.Predmet.OstaliListFormatedWithAdress>
  <DomainObject.Predmet.OstaliListFormatedWithAdressOIB>
    <izvorni_sadrzaj>
      <item>Županijsko državno odvjetništvo u Osijeku, OIB 61379160880, Kapucinska 21, 31000 Osijek punomoćnik sudionika u postupku Republika Hrvatska, Ministarstvo fianacija, Porezna uprava</item>
    </izvorni_sadrzaj>
    <derivirana_varijabla naziv="DomainObject.Predmet.OstaliListFormatedWithAdressOIB_1">
      <item>Županijsko državno odvjetništvo u Osijeku, OIB 61379160880, Kapucinska 21, 31000 Osijek punomoćnik sudionika u postupku Republika Hrvatska, Ministarstvo fianacija, Porezna uprava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DAMCO d.o.o.u stečaju</izvorni_sadrzaj>
    <derivirana_varijabla naziv="DomainObject.Predmet.ProtustrankaIDrugi_1">DAMCO d.o.o.u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DAMCO d.o.o.u stečaju, OIB 17662060359, Braće Radić 13, 44322 Lipovljani</izvorni_sadrzaj>
    <derivirana_varijabla naziv="DomainObject.Predmet.ProtustrankaIDrugiAdressOIB_1">DAMCO d.o.o.u stečaju, OIB 17662060359, Braće Radić 13, 44322 Lipovljani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DAMCO d.o.o.u stečaju</item>
      <item>Republika Hrvatska, Ministarstvo fianacija, Porezna uprava</item>
      <item>Županijsko državno odvjetništvo u Osijeku</item>
    </izvorni_sadrzaj>
    <derivirana_varijabla naziv="DomainObject.Predmet.SudioniciListNaziv_1">
      <item>FINA Regionalni centar Zagreb</item>
      <item>DAMCO d.o.o.u stečaju</item>
      <item>Republika Hrvatska, Ministarstvo fianacija, Porezna uprava</item>
      <item>Županijsko državno odvjetništvo u Osijeku</item>
    </derivirana_varijabla>
  </DomainObject.Predmet.SudioniciListNaziv>
  <DomainObject.Predmet.SudioniciListAdressOIB>
    <izvorni_sadrzaj>
      <item>FINA Regionalni centar Zagreb, OIB 85821130368, Trg svibanjskih žrtava 1995. 1,10000 Zagreb</item>
      <item>DAMCO d.o.o.u stečaju, OIB 17662060359, Braće Radić 13,44322 Lipovljani</item>
      <item>Republika Hrvatska, Ministarstvo fianacija, Porezna uprava, OIB 18683136487, Katančićeva 5,10000 Zagreb</item>
      <item>Županijsko državno odvjetništvo u Osijeku, OIB 61379160880, Kapucinska 21,31000 Osijek</item>
    </izvorni_sadrzaj>
    <derivirana_varijabla naziv="DomainObject.Predmet.SudioniciListAdressOIB_1">
      <item>FINA Regionalni centar Zagreb, OIB 85821130368, Trg svibanjskih žrtava 1995. 1,10000 Zagreb</item>
      <item>DAMCO d.o.o.u stečaju, OIB 17662060359, Braće Radić 13,44322 Lipovljani</item>
      <item>Republika Hrvatska, Ministarstvo fianacija, Porezna uprava, OIB 18683136487, Katančićeva 5,10000 Zagreb</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17662060359</item>
      <item>, OIB 18683136487</item>
      <item>, OIB 61379160880</item>
    </izvorni_sadrzaj>
    <derivirana_varijabla naziv="DomainObject.Predmet.SudioniciListNazivOIB_1">
      <item>, OIB 85821130368</item>
      <item>, OIB 17662060359</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752</properties:Words>
  <properties:Characters>4004</properties:Characters>
  <properties:Lines>93</properties:Lines>
  <properties:Paragraphs>32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2018-04-03T10:59:00Z</dcterms:created>
  <dc:creator>Vlasta Bogović Milisavljević</dc:creator>
  <cp:lastModifiedBy>Vlasta Bogović Milisavljević</cp:lastModifiedBy>
  <cp:lastPrinted>2018-04-03T11:11:00Z</cp:lastPrinted>
  <dcterms:modified xmlns:xsi="http://www.w3.org/2001/XMLSchema-instance" xsi:type="dcterms:W3CDTF">2018-04-03T11:11:00Z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zakazivanju ispitnog - izvještajnog ročišta (RJEŠENJE 03.04.2018..docx)</vt:lpwstr>
  </prop:property>
  <prop:property name="CC_coloring" pid="4" fmtid="{D5CDD505-2E9C-101B-9397-08002B2CF9AE}">
    <vt:bool>false</vt:bool>
  </prop:property>
  <prop:property name="BrojStranica" pid="5" fmtid="{D5CDD505-2E9C-101B-9397-08002B2CF9AE}">
    <vt:i4>2</vt:i4>
  </prop:property>
</prop:Properties>
</file>